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32E2" w14:textId="77777777" w:rsidR="00B421B8" w:rsidRDefault="00B421B8" w:rsidP="00B421B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</w:p>
    <w:p w14:paraId="121C0E84" w14:textId="77777777" w:rsidR="00B421B8" w:rsidRDefault="00B421B8" w:rsidP="00B421B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14:paraId="5965A369" w14:textId="77777777" w:rsidR="00B421B8" w:rsidRPr="004F5F24" w:rsidRDefault="00B421B8" w:rsidP="00B421B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</w:p>
    <w:p w14:paraId="2B3ADB99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(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Suspension of Payment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Surseance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Van 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Betaling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lazimnya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dikaitkan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piutang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perkataan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piutang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pinjam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meminjam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pinjam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meminjam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lahirlah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perikatan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perikatan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073801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mengembalikan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mengembalikan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timbul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mengembalikan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berhenti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FC336B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menjamin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menjamin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bersangkutan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instansi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personil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mengemban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Instansi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Kurator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wewenang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instansi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personil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piutang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bersangkutan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seimbang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seharusnya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pengaturan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4D340F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(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Suspension of Payment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Surseance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Van 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Betaling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mana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memusyawarahkan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cara-cara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merestrukturisasi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14:paraId="5DD31963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disediakan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UUK-PKPU agar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terhindar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ancaman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kekayaannya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dilikuidasi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insolven</w:t>
      </w:r>
      <w:proofErr w:type="spellEnd"/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Cara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PKPU.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Bab III,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 UUK-PKPU.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tawaran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(2),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konkuren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didahulukan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81C110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diperiksa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ditengah-tengah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berlangsungnya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Start w:id="0"/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dihentikan</w:t>
      </w:r>
      <w:commentRangeEnd w:id="0"/>
      <w:proofErr w:type="spellEnd"/>
      <w:r w:rsidR="002D040A">
        <w:rPr>
          <w:rStyle w:val="CommentReference"/>
        </w:rPr>
        <w:commentReference w:id="0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D82AFA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ditempuh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kekayaannya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terhindar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likuidasi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mengadakan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dinyatakan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menghindarkan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tercapai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diputuskan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berakhir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lain,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menghindarkan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likuidasi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kekayaannya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sekalipun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diputuskan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mengakhiri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dibicarakan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dirundingkan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mengakhiri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Start w:id="1"/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commentRangeEnd w:id="1"/>
      <w:proofErr w:type="spellEnd"/>
      <w:r w:rsidR="002D040A">
        <w:rPr>
          <w:rStyle w:val="CommentReference"/>
        </w:rPr>
        <w:commentReference w:id="1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F57A16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2"/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commentRangeEnd w:id="2"/>
      <w:r w:rsidR="002D040A">
        <w:rPr>
          <w:rStyle w:val="CommentReference"/>
        </w:rPr>
        <w:commentReference w:id="2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hakikatnya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mengadakan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menghindarkan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insolven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Akan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kesepakatan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rangka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tercapai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berikutnya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dinyatakan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</w:p>
    <w:p w14:paraId="1159597D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Start w:id="3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</w:t>
      </w:r>
      <w:commentRangeEnd w:id="3"/>
      <w:r w:rsidR="002D040A">
        <w:rPr>
          <w:rStyle w:val="CommentReference"/>
        </w:rPr>
        <w:commentReference w:id="3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sebenarnya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sejenis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moratorium,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legal moratorium</w:t>
      </w:r>
      <w:r w:rsidRPr="004F5F24">
        <w:rPr>
          <w:rStyle w:val="FootnoteReference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5"/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berinisiatif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diperkirakan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hutang-hutangnya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mesti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ditandatangani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bersama-sama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advokat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lawyer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</w:p>
    <w:p w14:paraId="2BCACC6E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dilampirkan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lain:</w:t>
      </w:r>
    </w:p>
    <w:p w14:paraId="1E115E65" w14:textId="77777777" w:rsidR="00B421B8" w:rsidRPr="004F5F24" w:rsidRDefault="00B421B8" w:rsidP="00B421B8">
      <w:pPr>
        <w:pStyle w:val="ListParagraph"/>
        <w:numPr>
          <w:ilvl w:val="0"/>
          <w:numId w:val="1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piutang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5F18A4" w14:textId="77777777" w:rsidR="00B421B8" w:rsidRPr="004F5F24" w:rsidRDefault="00B421B8" w:rsidP="00B421B8">
      <w:pPr>
        <w:pStyle w:val="ListParagraph"/>
        <w:numPr>
          <w:ilvl w:val="0"/>
          <w:numId w:val="1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Surat-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selayaknya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; dan</w:t>
      </w:r>
    </w:p>
    <w:p w14:paraId="2A411E27" w14:textId="77777777" w:rsidR="00B421B8" w:rsidRPr="004F5F24" w:rsidRDefault="00B421B8" w:rsidP="00B421B8">
      <w:pPr>
        <w:pStyle w:val="ListParagraph"/>
        <w:numPr>
          <w:ilvl w:val="0"/>
          <w:numId w:val="1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dilampirkan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2E7817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Pihak-pihak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ahun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 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Start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</w:t>
      </w:r>
      <w:commentRangeEnd w:id="4"/>
      <w:r w:rsidR="002D040A">
        <w:rPr>
          <w:rStyle w:val="CommentReference"/>
        </w:rPr>
        <w:commentReference w:id="4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kemungkinan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aspirasi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dunia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(1).</w:t>
      </w:r>
    </w:p>
    <w:p w14:paraId="54C1CD7E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memperkirakan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memperkirakan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nantinya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KPU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Sebaiknya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dimungkinkan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bank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waktu-waktu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tertentu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keuangannya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F52B06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seharusnya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menolak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mengabaikan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membuktikan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diperkirakan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804D43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diberikannya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legal standing”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perdebatan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kalangan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praktisi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praktisi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mempertanyakan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legal standing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notabene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tahu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soal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kesanggupan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Padahal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persetujuan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berakhir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berhasil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didapatkan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tercapainya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persetujuan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270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ratus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tujuh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puluh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berakhirnya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memberitahukan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terbuka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</w:p>
    <w:p w14:paraId="7E20D323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perdebatan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UUK-PKPU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dibatalkan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dicabut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keberlakuannya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tertarik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Penolakan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Permohonan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Niaga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Utang,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07/PKPU/2015/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PN.Niaga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/SBY</w:t>
      </w:r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14:paraId="4C50D0B6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63BEA4" w14:textId="77777777" w:rsidR="00B421B8" w:rsidRPr="004F5F24" w:rsidRDefault="00B421B8" w:rsidP="00B421B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Rumusan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</w:p>
    <w:p w14:paraId="34958254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uraian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B5A7CE" w14:textId="77777777" w:rsidR="00B421B8" w:rsidRDefault="00B421B8" w:rsidP="00B421B8">
      <w:pPr>
        <w:pStyle w:val="ListParagraph"/>
        <w:numPr>
          <w:ilvl w:val="0"/>
          <w:numId w:val="2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menolak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yang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1F37B20" w14:textId="77777777" w:rsidR="00B421B8" w:rsidRPr="00F63D94" w:rsidRDefault="00B421B8" w:rsidP="00B421B8">
      <w:pPr>
        <w:pStyle w:val="ListParagraph"/>
        <w:numPr>
          <w:ilvl w:val="0"/>
          <w:numId w:val="21"/>
        </w:numPr>
        <w:spacing w:after="0" w:line="9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penolakan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4C76D0A" w14:textId="77777777" w:rsidR="00B421B8" w:rsidRDefault="00B421B8" w:rsidP="00B421B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01AF007D" w14:textId="77777777" w:rsidR="00B421B8" w:rsidRPr="00F63D9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Adapun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dicapai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F63D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B26572" w14:textId="77777777" w:rsidR="00B421B8" w:rsidRPr="004F5F24" w:rsidRDefault="00B421B8" w:rsidP="00B421B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menolak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yang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mohonkan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07/PKPU/2015/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PN.Niaga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/SBY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UUK-PKPU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bahwasanya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EA9C70" w14:textId="77777777" w:rsidR="00B421B8" w:rsidRDefault="00B421B8" w:rsidP="00B421B8">
      <w:pPr>
        <w:pStyle w:val="ListParagraph"/>
        <w:numPr>
          <w:ilvl w:val="0"/>
          <w:numId w:val="2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penolakan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802CE1" w14:textId="77777777" w:rsidR="00B421B8" w:rsidRDefault="00B421B8" w:rsidP="00B421B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6BCC9" w14:textId="77777777" w:rsidR="00B421B8" w:rsidRDefault="00B421B8" w:rsidP="00B421B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5270A" w14:textId="77777777" w:rsidR="00B421B8" w:rsidRPr="00E71134" w:rsidRDefault="00B421B8" w:rsidP="00B421B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77111" w14:textId="77777777" w:rsidR="00B421B8" w:rsidRPr="004F5F24" w:rsidRDefault="00B421B8" w:rsidP="00B421B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Manfaat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4D396920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teoritis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manfaatnya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ketidaksanggupan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2C333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73572" w14:textId="77777777" w:rsidR="00B421B8" w:rsidRPr="004F5F24" w:rsidRDefault="00B421B8" w:rsidP="00B421B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Pengaturan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Umum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31A3FEB" w14:textId="77777777" w:rsidR="00B421B8" w:rsidRPr="004F5F24" w:rsidRDefault="00B421B8" w:rsidP="00B421B8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Terdahulu</w:t>
      </w:r>
      <w:proofErr w:type="spellEnd"/>
    </w:p>
    <w:p w14:paraId="2112C442" w14:textId="77777777" w:rsidR="00B421B8" w:rsidRDefault="00B421B8" w:rsidP="00B421B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substansi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kemiripan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dirumuskan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pengkajian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7FFE00F" w14:textId="77777777" w:rsidR="00B421B8" w:rsidRPr="00E71134" w:rsidRDefault="00B421B8" w:rsidP="00B421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Adhy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Iswara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Sinaga</w:t>
      </w:r>
      <w:proofErr w:type="spellEnd"/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Menyewa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2004”.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diangkat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E438640" w14:textId="77777777" w:rsidR="00B421B8" w:rsidRDefault="00B421B8" w:rsidP="00B421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menyewa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82272E" w14:textId="77777777" w:rsidR="00B421B8" w:rsidRPr="00E71134" w:rsidRDefault="00B421B8" w:rsidP="00B421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menyewa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 </w:t>
      </w:r>
      <w:proofErr w:type="spellStart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E7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</w:t>
      </w:r>
    </w:p>
    <w:p w14:paraId="1F25F910" w14:textId="77777777" w:rsidR="00B421B8" w:rsidRDefault="00B421B8" w:rsidP="00B421B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bertindak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penyewa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segera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kewenangan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mengakhiri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asalkan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pemberitahuan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menghentikan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menjelang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berakhir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kebiasan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setempat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dihentikan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menjelang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muka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membuka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arah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ta-mata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mempailitkan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09D21" w14:textId="77777777" w:rsidR="00B421B8" w:rsidRPr="004F5F24" w:rsidRDefault="00B421B8" w:rsidP="00B421B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Persamaan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Adhy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Iswara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Sinaga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sama-sama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yang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perbedaannya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perumusan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28A4F2" w14:textId="77777777" w:rsidR="00B421B8" w:rsidRPr="004F5F24" w:rsidRDefault="00B421B8" w:rsidP="00B421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Desty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Saraswati</w:t>
      </w:r>
      <w:proofErr w:type="spellEnd"/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Yuridis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Simpan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Pinjam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Mitradana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Pdt.Sus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-PKPU/2017/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PN.Niaga.Smg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)”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koperasi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simpan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pinjam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mitradana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Semarang.</w:t>
      </w:r>
    </w:p>
    <w:p w14:paraId="564CCD53" w14:textId="77777777" w:rsidR="00B421B8" w:rsidRPr="004F5F24" w:rsidRDefault="00B421B8" w:rsidP="00B421B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Persamaan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Desty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Saraswati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sama-sama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yuridis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perbedaannya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6DDB44" w14:textId="77777777" w:rsidR="00B421B8" w:rsidRPr="004F5F24" w:rsidRDefault="00B421B8" w:rsidP="00B421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Ardhaza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Parulian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Aritonanng</w:t>
      </w:r>
      <w:proofErr w:type="spellEnd"/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0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UUK-PKPU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Mahkamah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355 K/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Pdt.Sus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PKPU/2013)”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diangkat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cessie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final and binding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(final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mengikat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Mahkamah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355 K/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Pdt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-PKPU/2013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perundang-u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81B20C" w14:textId="77777777" w:rsidR="00B421B8" w:rsidRDefault="00B421B8" w:rsidP="00B421B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menyimpulkan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memerlukan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kehidupannya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perorangan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mana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meminjam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pinjaman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piutang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1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terpenuhi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didasari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tertuang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7.9 Schedule 2 jo.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10.3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Kontrak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tagihan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dibuktikan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Serah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Invoice.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seharusnya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melekat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diartikan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perkara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wanprestasi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selesai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diperjanjikan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9830E1" w14:textId="77777777" w:rsidR="00B421B8" w:rsidRPr="004F5F24" w:rsidRDefault="00B421B8" w:rsidP="00B421B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Persamaan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Ardhaza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Parulian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Aritonang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sama-sama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yuridis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perbedaannya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tinjauan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97FC42" w14:textId="77777777" w:rsidR="00B421B8" w:rsidRPr="004F5F24" w:rsidRDefault="00B421B8" w:rsidP="00B421B8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Pengertian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PKPU    </w:t>
      </w:r>
    </w:p>
    <w:p w14:paraId="00B545A0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lalu-lintas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setidak-tidaknya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terikat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kontra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berbuat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berbuat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onderwerp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object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2"/>
      </w:r>
    </w:p>
    <w:p w14:paraId="453CAFD7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Anglo Sax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consideration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lengkap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menggambarkan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consideration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perbandingan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commentRangeStart w:id="5"/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dibawah</w:t>
      </w:r>
      <w:commentRangeEnd w:id="5"/>
      <w:proofErr w:type="spellEnd"/>
      <w:r w:rsidR="002D040A">
        <w:rPr>
          <w:rStyle w:val="CommentReference"/>
        </w:rPr>
        <w:commentReference w:id="5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dipaparkan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432A518" w14:textId="77777777" w:rsidR="00B421B8" w:rsidRDefault="00B421B8" w:rsidP="00B42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6"/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Jesse S. Raphael, AB.LL.B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3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Consideratiom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 not easy to explain in a </w:t>
      </w:r>
      <w:r w:rsidRPr="00DC4E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single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definition. In general, it consist in the giving up of some legal right by one of the parties in exchange for the promise of the other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,”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menyerahkan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salah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pertukaran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janji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F474CA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158E0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James Barnes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Consideration is usually defined as either a detriment to the promise or a benefit to promisor, which was bargained for and given in exchange for the promise.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”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didefinisikan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merugikan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janji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promisor,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tawar-menawar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pertukaran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janji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62B6E00" w14:textId="77777777" w:rsidR="00B421B8" w:rsidRDefault="00B421B8" w:rsidP="00B42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Ronald A. Anderson,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menggariskan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Consideration is what a 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promior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demand and receives as the price for the promise. Consideration is 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some thing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which the promisor is not otherwise entitled and which the promisor specifies as the price for the promise.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”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diminta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penentu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janji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commentRangeEnd w:id="6"/>
      <w:r w:rsidR="002D040A">
        <w:rPr>
          <w:rStyle w:val="CommentReference"/>
        </w:rPr>
        <w:commentReference w:id="6"/>
      </w:r>
    </w:p>
    <w:p w14:paraId="7B27F41A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Dari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ungkapan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disarikan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consideration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dijanjikan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timbal-balik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Perbuatan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berbuat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janji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janji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dibeli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6"/>
      </w:r>
    </w:p>
    <w:p w14:paraId="46CC7E42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wanprestasi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7"/>
      </w:r>
    </w:p>
    <w:p w14:paraId="2E148AB6" w14:textId="77777777" w:rsidR="00B421B8" w:rsidRPr="004F5F24" w:rsidRDefault="00B421B8" w:rsidP="00B421B8">
      <w:pPr>
        <w:pStyle w:val="ListParagraph"/>
        <w:numPr>
          <w:ilvl w:val="0"/>
          <w:numId w:val="1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sekali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1A2EB3" w14:textId="77777777" w:rsidR="00B421B8" w:rsidRPr="004F5F24" w:rsidRDefault="00B421B8" w:rsidP="00B421B8">
      <w:pPr>
        <w:pStyle w:val="ListParagraph"/>
        <w:numPr>
          <w:ilvl w:val="0"/>
          <w:numId w:val="15"/>
        </w:numPr>
        <w:tabs>
          <w:tab w:val="center" w:pos="4328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Terlambat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7E66EA" w14:textId="77777777" w:rsidR="00B421B8" w:rsidRPr="004F5F24" w:rsidRDefault="00B421B8" w:rsidP="00B421B8">
      <w:pPr>
        <w:pStyle w:val="ListParagraph"/>
        <w:numPr>
          <w:ilvl w:val="0"/>
          <w:numId w:val="1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3EE956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situasi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terpaksa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disiapkan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pintu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darurat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persoalan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PKPU.</w:t>
      </w:r>
    </w:p>
    <w:p w14:paraId="5C8A6946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Eropa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commentRangeStart w:id="7"/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commentRangeEnd w:id="7"/>
      <w:proofErr w:type="spellEnd"/>
      <w:r w:rsidR="002D040A">
        <w:rPr>
          <w:rStyle w:val="CommentReference"/>
        </w:rPr>
        <w:commentReference w:id="7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realisasi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asas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terkandung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1131 dan 1132 KUH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1131 KUH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menetapkan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benda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benda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perolehnya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tanggungan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perikatan-perikatan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pribadinya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F584E3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1332 KUH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benda-benda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dimaksudkan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bersama-sama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benda-benda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seimbang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imbangan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perbandingan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tagihan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kecuali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bilamana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alasan-alasan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pendahuluan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Dari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lalai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kewajibannya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Hasil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pelelangan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jujur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seimbang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penimbangan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F7C5DE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8"/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enundaan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ewajiban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embayaran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tang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End w:id="8"/>
      <w:r w:rsidR="0069500A">
        <w:rPr>
          <w:rStyle w:val="CommentReference"/>
        </w:rPr>
        <w:commentReference w:id="8"/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dikaitkan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dihubungkan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insolvensi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seketika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16EA17A" w14:textId="77777777" w:rsidR="00B421B8" w:rsidRPr="00C039E9" w:rsidRDefault="00B421B8" w:rsidP="00B421B8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Dasar Hukum </w:t>
      </w:r>
      <w:proofErr w:type="spellStart"/>
      <w:r w:rsidRPr="00C03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Kepailitan</w:t>
      </w:r>
      <w:proofErr w:type="spellEnd"/>
      <w:r w:rsidRPr="00C039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PKPU</w:t>
      </w:r>
    </w:p>
    <w:p w14:paraId="1C359845" w14:textId="77777777" w:rsidR="00B421B8" w:rsidRPr="00C039E9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Bab II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212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279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PKPU.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8"/>
      </w:r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1131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1334 KUH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pengaturan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Start w:id="9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</w:t>
      </w:r>
      <w:commentRangeEnd w:id="9"/>
      <w:r w:rsidR="0069500A">
        <w:rPr>
          <w:rStyle w:val="CommentReference"/>
        </w:rPr>
        <w:commentReference w:id="9"/>
      </w:r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aturan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erkait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9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F1F4577" w14:textId="77777777" w:rsidR="00B421B8" w:rsidRPr="004F5F24" w:rsidRDefault="00B421B8" w:rsidP="00B421B8">
      <w:pPr>
        <w:pStyle w:val="ListParagraph"/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No.40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Perseroan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Terbatas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DB8BB1F" w14:textId="77777777" w:rsidR="00B421B8" w:rsidRPr="004F5F24" w:rsidRDefault="00B421B8" w:rsidP="00B421B8">
      <w:pPr>
        <w:pStyle w:val="ListParagraph"/>
        <w:numPr>
          <w:ilvl w:val="0"/>
          <w:numId w:val="16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N0.4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1996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Tanggungan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EF8CBF" w14:textId="77777777" w:rsidR="00B421B8" w:rsidRPr="004F5F24" w:rsidRDefault="00B421B8" w:rsidP="00B421B8">
      <w:pPr>
        <w:pStyle w:val="ListParagraph"/>
        <w:numPr>
          <w:ilvl w:val="0"/>
          <w:numId w:val="16"/>
        </w:numPr>
        <w:tabs>
          <w:tab w:val="left" w:pos="7241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No.42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Fidusia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F75839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10"/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enundaan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ewajiban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embayaran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tang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commentRangeEnd w:id="10"/>
      <w:r w:rsidR="0069500A">
        <w:rPr>
          <w:rStyle w:val="CommentReference"/>
        </w:rPr>
        <w:commentReference w:id="10"/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s.d.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 UU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erat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ketidakmampuan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Insolvensi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oleh:</w:t>
      </w:r>
    </w:p>
    <w:p w14:paraId="6E005E91" w14:textId="77777777" w:rsidR="00B421B8" w:rsidRPr="004F5F24" w:rsidRDefault="00B421B8" w:rsidP="00B421B8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memperkirakan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tawaran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seluruhnya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38D50B" w14:textId="77777777" w:rsidR="00B421B8" w:rsidRPr="004F5F24" w:rsidRDefault="00B421B8" w:rsidP="00B421B8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preferen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didahulukan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memperkirakan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tawaran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51BDEB" w14:textId="77777777" w:rsidR="00B421B8" w:rsidRPr="004F5F24" w:rsidRDefault="00B421B8" w:rsidP="00B421B8">
      <w:pPr>
        <w:pStyle w:val="ListParagraph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Pengecualian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bursa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kliring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penjaminan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penyimpanan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asuransi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reasuransi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Badan Usaha Milik Negara (BUMN)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EFBFAD" w14:textId="77777777" w:rsidR="00B421B8" w:rsidRDefault="00B421B8" w:rsidP="00B421B8">
      <w:pPr>
        <w:pStyle w:val="ListParagraph"/>
        <w:numPr>
          <w:ilvl w:val="0"/>
          <w:numId w:val="17"/>
        </w:numPr>
        <w:spacing w:after="0" w:line="48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debitornya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bank,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Bank Indonesia.</w:t>
      </w:r>
    </w:p>
    <w:p w14:paraId="2C9951DA" w14:textId="77777777" w:rsidR="00B421B8" w:rsidRDefault="00B421B8" w:rsidP="00B421B8">
      <w:pPr>
        <w:pStyle w:val="ListParagraph"/>
        <w:numPr>
          <w:ilvl w:val="0"/>
          <w:numId w:val="17"/>
        </w:numPr>
        <w:spacing w:after="0" w:line="48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Dalam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debitornya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bursa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kliring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penjaminan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penyimpanan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badan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pasar modal.</w:t>
      </w:r>
    </w:p>
    <w:p w14:paraId="10E5D15E" w14:textId="77777777" w:rsidR="00B421B8" w:rsidRPr="00490395" w:rsidRDefault="00B421B8" w:rsidP="00B421B8">
      <w:pPr>
        <w:pStyle w:val="ListParagraph"/>
        <w:numPr>
          <w:ilvl w:val="0"/>
          <w:numId w:val="17"/>
        </w:numPr>
        <w:spacing w:after="0" w:line="48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debitornya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asuransi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reasuransi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dana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BUMN yang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bergerak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dibidang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Menteri </w:t>
      </w:r>
      <w:proofErr w:type="spellStart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90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9DCD53" w14:textId="77777777" w:rsidR="00F52BB8" w:rsidRPr="004F5F24" w:rsidRDefault="00F52BB8" w:rsidP="00F52B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07/PKPU/2015/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PN.Niaga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/SBY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Majelis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FDAE29C" w14:textId="77777777" w:rsidR="00F52BB8" w:rsidRPr="00990B8F" w:rsidRDefault="00F52BB8" w:rsidP="00F52BB8">
      <w:pPr>
        <w:pStyle w:val="ListParagraph"/>
        <w:numPr>
          <w:ilvl w:val="0"/>
          <w:numId w:val="2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Majelis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mempertimbangkan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perkara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jo. Ayat (3)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yang </w:t>
      </w:r>
      <w:proofErr w:type="spellStart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berbunyi</w:t>
      </w:r>
      <w:proofErr w:type="spellEnd"/>
      <w:r w:rsidRPr="00990B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B34655F" w14:textId="77777777" w:rsidR="00F52BB8" w:rsidRPr="00052E4D" w:rsidRDefault="00F52BB8" w:rsidP="00F52BB8">
      <w:pPr>
        <w:pStyle w:val="ListParagraph"/>
        <w:numPr>
          <w:ilvl w:val="0"/>
          <w:numId w:val="26"/>
        </w:numPr>
        <w:tabs>
          <w:tab w:val="left" w:pos="2129"/>
          <w:tab w:val="left" w:pos="5272"/>
          <w:tab w:val="left" w:pos="570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kreditur</w:t>
      </w:r>
      <w:proofErr w:type="spellEnd"/>
      <w:r w:rsidRPr="00052E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21BA2A" w14:textId="77777777" w:rsidR="00F52BB8" w:rsidRDefault="00F52BB8" w:rsidP="00F52BB8">
      <w:pPr>
        <w:pStyle w:val="ListParagraph"/>
        <w:numPr>
          <w:ilvl w:val="0"/>
          <w:numId w:val="26"/>
        </w:numPr>
        <w:tabs>
          <w:tab w:val="left" w:pos="2129"/>
          <w:tab w:val="left" w:pos="5272"/>
          <w:tab w:val="left" w:pos="570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..............;.............................................</w:t>
      </w:r>
    </w:p>
    <w:p w14:paraId="5CEFB021" w14:textId="77777777" w:rsidR="00F52BB8" w:rsidRPr="004F5F24" w:rsidRDefault="00F52BB8" w:rsidP="00F52BB8">
      <w:pPr>
        <w:pStyle w:val="ListParagraph"/>
        <w:numPr>
          <w:ilvl w:val="0"/>
          <w:numId w:val="26"/>
        </w:numPr>
        <w:tabs>
          <w:tab w:val="left" w:pos="2129"/>
          <w:tab w:val="left" w:pos="5272"/>
          <w:tab w:val="left" w:pos="570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memperkirakan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tawaran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kreditornya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44B7C7" w14:textId="77777777" w:rsidR="00F52BB8" w:rsidRDefault="00F52BB8" w:rsidP="00F52BB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B4CAC" w14:textId="77777777" w:rsidR="00F52BB8" w:rsidRDefault="00F52BB8" w:rsidP="00F52BB8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jo.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UUK-PKPU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bukti-bukti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memperkirakan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Termohon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ditagih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C9343B" w14:textId="77777777" w:rsidR="00B421B8" w:rsidRPr="004F5F24" w:rsidRDefault="00B421B8" w:rsidP="00B421B8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PKPU dan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Pailit</w:t>
      </w:r>
      <w:proofErr w:type="spellEnd"/>
    </w:p>
    <w:p w14:paraId="51E59BCA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dasarnya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dimaksudkan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insolvensi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tawaran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restrukturisasi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penjadwalan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ulang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debit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melunasi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utang-utang agar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dinyatakan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tegas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erlangsung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9"/>
      </w:r>
    </w:p>
    <w:p w14:paraId="709684D9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diperiksa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bersamaan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dibandingkan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Adapun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diputus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pemeriksaan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229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(3)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(4) UU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0"/>
      </w:r>
    </w:p>
    <w:p w14:paraId="59736B52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prinsipil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E9179C" w14:textId="77777777" w:rsidR="00B421B8" w:rsidRPr="004F5F24" w:rsidRDefault="00B421B8" w:rsidP="00B421B8">
      <w:pPr>
        <w:pStyle w:val="ListParagraph"/>
        <w:numPr>
          <w:ilvl w:val="0"/>
          <w:numId w:val="19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Waktu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</w:p>
    <w:p w14:paraId="783B87F2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dinyatakan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bangkrut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oleh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Jadi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diperkenankan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permohonan-permohonan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bersamaan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masuknya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menolak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memutuskan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217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5).</w:t>
      </w:r>
    </w:p>
    <w:p w14:paraId="1EDB4BAC" w14:textId="77777777" w:rsidR="00B421B8" w:rsidRPr="00E73519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Kendati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prioritas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diperiksa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persidangan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berarti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F2C998" w14:textId="77777777" w:rsidR="00B421B8" w:rsidRPr="004F5F24" w:rsidRDefault="00B421B8" w:rsidP="00B421B8">
      <w:pPr>
        <w:pStyle w:val="ListParagraph"/>
        <w:numPr>
          <w:ilvl w:val="0"/>
          <w:numId w:val="19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Tertunda</w:t>
      </w:r>
      <w:proofErr w:type="spellEnd"/>
    </w:p>
    <w:p w14:paraId="462CAA54" w14:textId="77777777" w:rsidR="00B421B8" w:rsidRPr="00E73519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sedemikian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buruknya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kewenangan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bertindaknya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bendanya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hilang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tertunda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bertindak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bendanya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berhak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hartanya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8F37C0" w14:textId="77777777" w:rsidR="00B421B8" w:rsidRPr="004F5F24" w:rsidRDefault="00B421B8" w:rsidP="00B421B8">
      <w:pPr>
        <w:pStyle w:val="ListParagraph"/>
        <w:numPr>
          <w:ilvl w:val="0"/>
          <w:numId w:val="19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Lembaga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Pemeliharaan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Bewindvoerder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35A956C" w14:textId="77777777" w:rsidR="00B421B8" w:rsidRPr="00E73519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Berkenan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tertunda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cakap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wewenang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mengurus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bendanya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mengawasi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tindakannya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pemelihara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735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Bewindvoerder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Lembaga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230D73" w14:textId="77777777" w:rsidR="00B421B8" w:rsidRPr="004F5F24" w:rsidRDefault="00B421B8" w:rsidP="00B421B8">
      <w:pPr>
        <w:pStyle w:val="ListParagraph"/>
        <w:numPr>
          <w:ilvl w:val="0"/>
          <w:numId w:val="19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Peninggalan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(BHP)</w:t>
      </w:r>
    </w:p>
    <w:p w14:paraId="0CC7DDFB" w14:textId="77777777" w:rsidR="00B421B8" w:rsidRPr="00E73519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di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campur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peninggalan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mengurus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benda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berhak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megurus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hartanya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peninggalan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gantinya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ialah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pemeliharaan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735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bewinvoerder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yang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bertugas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A9B9A8E" w14:textId="77777777" w:rsidR="00B421B8" w:rsidRDefault="00B421B8" w:rsidP="00B421B8">
      <w:pPr>
        <w:pStyle w:val="ListParagraph"/>
        <w:numPr>
          <w:ilvl w:val="0"/>
          <w:numId w:val="7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Mengurus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tertunda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kekayaannya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Pengurusan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853883" w14:textId="77777777" w:rsidR="00B421B8" w:rsidRPr="00E73519" w:rsidRDefault="00B421B8" w:rsidP="00B421B8">
      <w:pPr>
        <w:pStyle w:val="ListParagraph"/>
        <w:numPr>
          <w:ilvl w:val="0"/>
          <w:numId w:val="7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tugas-tugas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dipercayakan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kepadanya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diangkat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bebas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batas-batas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kewenangan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E73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D5EE42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bewindvoerder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bewindvoerder</w:t>
      </w:r>
      <w:proofErr w:type="spellEnd"/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diadakan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pemungutan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boleh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tidaknya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perbuatan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tertunda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Seandainya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penimbangan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pemungutan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serahkan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memutus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220669" w14:textId="77777777" w:rsidR="00DC4EC5" w:rsidRPr="004F5F24" w:rsidRDefault="00DC4EC5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CB8F7" w14:textId="77777777" w:rsidR="00B421B8" w:rsidRPr="004F5F24" w:rsidRDefault="00B421B8" w:rsidP="00B421B8">
      <w:pPr>
        <w:pStyle w:val="ListParagraph"/>
        <w:numPr>
          <w:ilvl w:val="0"/>
          <w:numId w:val="19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Komisaris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30DF3C" w14:textId="77777777" w:rsidR="00B421B8" w:rsidRPr="0024532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komisaris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Oleh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diselesaikan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hakim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pemutus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F0ABE1" w14:textId="77777777" w:rsidR="00B421B8" w:rsidRPr="004F5F24" w:rsidRDefault="00B421B8" w:rsidP="00B421B8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Prosedur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Tata Cara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PKPU</w:t>
      </w:r>
    </w:p>
    <w:p w14:paraId="0DFEC197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557D8C" w14:textId="77777777" w:rsidR="00B421B8" w:rsidRDefault="00B421B8" w:rsidP="00B421B8">
      <w:pPr>
        <w:pStyle w:val="ListParagraph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meninggalkan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Negara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menjatuhkan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BE2678" w14:textId="77777777" w:rsidR="00B421B8" w:rsidRDefault="00B421B8" w:rsidP="00B421B8">
      <w:pPr>
        <w:pStyle w:val="ListParagraph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Persero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hukumnya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memutuskan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D6B5CA" w14:textId="77777777" w:rsidR="00B421B8" w:rsidRDefault="00B421B8" w:rsidP="00B421B8">
      <w:pPr>
        <w:pStyle w:val="ListParagraph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berkedudukan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negara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Negara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memutuskan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hukumnya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kantor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pusat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usahanya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Negara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1C08F6C7" w14:textId="77777777" w:rsidR="00B421B8" w:rsidRPr="00245328" w:rsidRDefault="00B421B8" w:rsidP="00B421B8">
      <w:pPr>
        <w:pStyle w:val="ListParagraph"/>
        <w:numPr>
          <w:ilvl w:val="0"/>
          <w:numId w:val="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Badan Hukum,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hukumnya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dasarnya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1"/>
      </w:r>
    </w:p>
    <w:p w14:paraId="1EEFF574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ditandatangani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advokatnya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diperhatikan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6A82FB7" w14:textId="77777777" w:rsidR="00B421B8" w:rsidRDefault="00B421B8" w:rsidP="00B421B8">
      <w:pPr>
        <w:pStyle w:val="ListParagraph"/>
        <w:numPr>
          <w:ilvl w:val="0"/>
          <w:numId w:val="20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pemohonnya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disertai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daftar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piutang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utang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beserta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secukupnya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3B71BF" w14:textId="77777777" w:rsidR="00B421B8" w:rsidRDefault="00B421B8" w:rsidP="00B421B8">
      <w:pPr>
        <w:pStyle w:val="ListParagraph"/>
        <w:numPr>
          <w:ilvl w:val="0"/>
          <w:numId w:val="20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pemohonnya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kreditor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memanggil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juru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sita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kilat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tercatat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lambat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tujuh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debitur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daftar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sifat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piutang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utang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debitor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beserta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secukupnya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878660" w14:textId="77777777" w:rsidR="00B421B8" w:rsidRPr="00245328" w:rsidRDefault="00B421B8" w:rsidP="00B421B8">
      <w:pPr>
        <w:pStyle w:val="ListParagraph"/>
        <w:numPr>
          <w:ilvl w:val="0"/>
          <w:numId w:val="20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dilampirkan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beserta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lampirannya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disediakan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Kepaniteraan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agar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cuma-cuma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Panitera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mendaftarkan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bersangkutan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pemohon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tertulis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ditandatangani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pejabat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berwenang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pendaftaran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Panitera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lambat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didaftarkan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3AF07C" w14:textId="77777777" w:rsidR="00B421B8" w:rsidRPr="004F5F24" w:rsidRDefault="00B421B8" w:rsidP="00B421B8">
      <w:pPr>
        <w:pStyle w:val="ListParagraph"/>
        <w:numPr>
          <w:ilvl w:val="0"/>
          <w:numId w:val="1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Syarat-Syarat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PKPU</w:t>
      </w:r>
    </w:p>
    <w:p w14:paraId="2E289632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sifatnya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dibedakan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6CB23" w14:textId="77777777" w:rsidR="00B421B8" w:rsidRDefault="00B421B8" w:rsidP="00B421B8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PKPU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7BE8CA" w14:textId="77777777" w:rsidR="00B421B8" w:rsidRPr="00245328" w:rsidRDefault="00B421B8" w:rsidP="00B421B8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PKPU yang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245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9E5684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wajib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segera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mengumumkan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dan paling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sedikit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kabar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ditunjuk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pengumuman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memuat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hadir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persidangan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permusyawaratan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diucapkan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diajuka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perdamaian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debito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pengumuman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pengumuman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lama 21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puluh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direncanakan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berlaku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diucapkan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berlanjut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2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69C438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PKPU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perpanjangannya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0997003" w14:textId="77777777" w:rsidR="00B421B8" w:rsidRPr="004F5F24" w:rsidRDefault="00B421B8" w:rsidP="00B421B8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Persetujuan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1/2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perdua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konkuren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diakui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diakui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hadir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mewakili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sedikit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2/3 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pertiga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tagihan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diakui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konkuren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kuasanya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hadir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perselis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nkuren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perselisihan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diputuskan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Pengawas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6AEA7F" w14:textId="77777777" w:rsidR="00B421B8" w:rsidRDefault="00B421B8" w:rsidP="00B421B8">
      <w:pPr>
        <w:pStyle w:val="ListParagraph"/>
        <w:numPr>
          <w:ilvl w:val="0"/>
          <w:numId w:val="5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Persetujuan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1/2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piutangnya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dijamin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gadai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fidusia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tanggungan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hipotek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agunan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kebendaan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hadir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mewakili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sedikit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2/3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pertiga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tagihan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redito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kuasanya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hadir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B2E7F2" w14:textId="77777777" w:rsidR="00B421B8" w:rsidRPr="00245328" w:rsidRDefault="00B421B8" w:rsidP="00B421B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918A3" w14:textId="77777777" w:rsidR="00B421B8" w:rsidRPr="00400411" w:rsidRDefault="00B421B8" w:rsidP="00B421B8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00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</w:t>
      </w:r>
      <w:proofErr w:type="spellEnd"/>
      <w:r w:rsidRPr="00400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004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1FB30A72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menguji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Pentingnya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tridarma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membina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para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mengungkapkan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kebenaran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objektif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sistematika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3"/>
      </w:r>
    </w:p>
    <w:p w14:paraId="32A47A2D" w14:textId="77777777" w:rsidR="00B421B8" w:rsidRPr="004F5F24" w:rsidRDefault="00B421B8" w:rsidP="00B421B8">
      <w:pPr>
        <w:pStyle w:val="ListParagraph"/>
        <w:numPr>
          <w:ilvl w:val="0"/>
          <w:numId w:val="8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 Sifat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14:paraId="6AEFE41D" w14:textId="77777777" w:rsidR="00B421B8" w:rsidRPr="004F5F24" w:rsidRDefault="00B421B8" w:rsidP="00B421B8">
      <w:pPr>
        <w:pStyle w:val="ListParagraph"/>
        <w:numPr>
          <w:ilvl w:val="0"/>
          <w:numId w:val="9"/>
        </w:numPr>
        <w:spacing w:after="0" w:line="480" w:lineRule="auto"/>
        <w:ind w:left="64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</w:p>
    <w:p w14:paraId="100F2F97" w14:textId="77777777" w:rsidR="00B421B8" w:rsidRPr="004F5F24" w:rsidRDefault="00B421B8" w:rsidP="00B421B8">
      <w:pPr>
        <w:pStyle w:val="ListParagraph"/>
        <w:spacing w:after="0"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meletakkan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bangunan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dimaksud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asas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kaidah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doktrin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ajaran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maksud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penentu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apakah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peristiwa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sebaiknya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peristiwa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4"/>
      </w:r>
    </w:p>
    <w:p w14:paraId="31A15B7E" w14:textId="77777777" w:rsidR="00B421B8" w:rsidRPr="004F5F24" w:rsidRDefault="00B421B8" w:rsidP="00B421B8">
      <w:pPr>
        <w:pStyle w:val="ListParagraph"/>
        <w:numPr>
          <w:ilvl w:val="0"/>
          <w:numId w:val="9"/>
        </w:numPr>
        <w:spacing w:after="0" w:line="480" w:lineRule="auto"/>
        <w:ind w:left="64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3FCDFD" w14:textId="77777777" w:rsidR="00B421B8" w:rsidRPr="00400411" w:rsidRDefault="00B421B8" w:rsidP="00B421B8">
      <w:pPr>
        <w:pStyle w:val="ListParagraph"/>
        <w:spacing w:after="0"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(statue approach) 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F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(case approach).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mempelajari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norma-norma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kaidah-kaidah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diputus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yurisprudensi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perkara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5"/>
      </w:r>
    </w:p>
    <w:p w14:paraId="28CE14E4" w14:textId="77777777" w:rsidR="00B421B8" w:rsidRPr="004F5F24" w:rsidRDefault="00B421B8" w:rsidP="00B421B8">
      <w:pPr>
        <w:pStyle w:val="ListParagraph"/>
        <w:numPr>
          <w:ilvl w:val="0"/>
          <w:numId w:val="9"/>
        </w:numPr>
        <w:spacing w:after="0" w:line="480" w:lineRule="auto"/>
        <w:ind w:left="64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Sifat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</w:p>
    <w:p w14:paraId="0504283A" w14:textId="77777777" w:rsidR="00B421B8" w:rsidRPr="004F5F24" w:rsidRDefault="00B421B8" w:rsidP="00B421B8">
      <w:pPr>
        <w:pStyle w:val="ListParagraph"/>
        <w:spacing w:after="0" w:line="48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menggambarkan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menelaah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teori-teori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sehubungan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6"/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berpedoman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teori-teori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berkenaan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perkara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utang, dan juga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penafsiran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memutuskan</w:t>
      </w:r>
      <w:proofErr w:type="spellEnd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>perkara</w:t>
      </w:r>
      <w:proofErr w:type="spellEnd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PKPU/2015/PN. </w:t>
      </w:r>
      <w:proofErr w:type="spellStart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="00F52BB8">
        <w:rPr>
          <w:rFonts w:ascii="Times New Roman" w:hAnsi="Times New Roman" w:cs="Times New Roman"/>
          <w:color w:val="000000" w:themeColor="text1"/>
          <w:sz w:val="24"/>
          <w:szCs w:val="24"/>
        </w:rPr>
        <w:t>/SBY</w:t>
      </w: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87F1CB" w14:textId="77777777" w:rsidR="00B421B8" w:rsidRPr="004F5F24" w:rsidRDefault="00B421B8" w:rsidP="00B421B8">
      <w:pPr>
        <w:pStyle w:val="ListParagraph"/>
        <w:numPr>
          <w:ilvl w:val="0"/>
          <w:numId w:val="8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Teknik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Pengumpulan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 dan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</w:t>
      </w:r>
    </w:p>
    <w:p w14:paraId="7953BF7A" w14:textId="77777777" w:rsidR="00B421B8" w:rsidRPr="004F5F24" w:rsidRDefault="00B421B8" w:rsidP="00B421B8">
      <w:pPr>
        <w:pStyle w:val="ListParagraph"/>
        <w:numPr>
          <w:ilvl w:val="0"/>
          <w:numId w:val="10"/>
        </w:numPr>
        <w:spacing w:after="0" w:line="480" w:lineRule="auto"/>
        <w:ind w:left="52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Teknik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Pengumpulan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</w:t>
      </w:r>
    </w:p>
    <w:p w14:paraId="1CE59725" w14:textId="77777777" w:rsidR="00B421B8" w:rsidRPr="00AE08F2" w:rsidRDefault="00B421B8" w:rsidP="00B421B8">
      <w:pPr>
        <w:pStyle w:val="ListParagraph"/>
        <w:numPr>
          <w:ilvl w:val="0"/>
          <w:numId w:val="11"/>
        </w:numPr>
        <w:spacing w:after="0" w:line="480" w:lineRule="auto"/>
        <w:ind w:left="81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08F2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E0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8F2">
        <w:rPr>
          <w:rFonts w:ascii="Times New Roman" w:hAnsi="Times New Roman" w:cs="Times New Roman"/>
          <w:color w:val="000000" w:themeColor="text1"/>
          <w:sz w:val="24"/>
          <w:szCs w:val="24"/>
        </w:rPr>
        <w:t>Kepustakaan</w:t>
      </w:r>
      <w:proofErr w:type="spellEnd"/>
    </w:p>
    <w:p w14:paraId="2EE4289B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Studi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kepustakaan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konsepsi-konsepsi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teori-teori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pendapat-pendapat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Berkenaan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memakai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kepustakaan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bahan-bahan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F684B3" w14:textId="77777777" w:rsidR="00B421B8" w:rsidRPr="00A4505D" w:rsidRDefault="00B421B8" w:rsidP="00B421B8">
      <w:pPr>
        <w:pStyle w:val="ListParagraph"/>
        <w:numPr>
          <w:ilvl w:val="0"/>
          <w:numId w:val="2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mengikat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berkepentingan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4D77F4" w14:textId="77777777" w:rsidR="00B421B8" w:rsidRDefault="00B421B8" w:rsidP="00B421B8">
      <w:pPr>
        <w:pStyle w:val="ListParagraph"/>
        <w:numPr>
          <w:ilvl w:val="0"/>
          <w:numId w:val="6"/>
        </w:numPr>
        <w:spacing w:after="0" w:line="48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KUH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FFBCEF" w14:textId="77777777" w:rsidR="00B421B8" w:rsidRDefault="00B421B8" w:rsidP="00B421B8">
      <w:pPr>
        <w:pStyle w:val="ListParagraph"/>
        <w:numPr>
          <w:ilvl w:val="0"/>
          <w:numId w:val="6"/>
        </w:numPr>
        <w:spacing w:after="0" w:line="48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 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Kepailitan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Penundaan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Utang;</w:t>
      </w:r>
    </w:p>
    <w:p w14:paraId="7CFFFFE0" w14:textId="77777777" w:rsidR="00B421B8" w:rsidRPr="00A4505D" w:rsidRDefault="00B421B8" w:rsidP="00B421B8">
      <w:pPr>
        <w:pStyle w:val="ListParagraph"/>
        <w:numPr>
          <w:ilvl w:val="0"/>
          <w:numId w:val="6"/>
        </w:numPr>
        <w:spacing w:after="0" w:line="48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Niaga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05/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Pailit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/2013/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PN.Niaga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Mdn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083987" w14:textId="77777777" w:rsidR="00B421B8" w:rsidRDefault="00B421B8" w:rsidP="00B421B8">
      <w:pPr>
        <w:pStyle w:val="ListParagraph"/>
        <w:numPr>
          <w:ilvl w:val="0"/>
          <w:numId w:val="2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buku-buku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literatur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proposal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939AFA" w14:textId="77777777" w:rsidR="00B421B8" w:rsidRPr="00A4505D" w:rsidRDefault="00B421B8" w:rsidP="00B421B8">
      <w:pPr>
        <w:pStyle w:val="ListParagraph"/>
        <w:numPr>
          <w:ilvl w:val="0"/>
          <w:numId w:val="24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tersier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primer dan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ensiklopedia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kamus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kamus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majalah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massa</w:t>
      </w:r>
      <w:proofErr w:type="spellEnd"/>
      <w:r w:rsidRPr="00A45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AD45BC" w14:textId="77777777" w:rsidR="00B421B8" w:rsidRPr="004F5F24" w:rsidRDefault="00B421B8" w:rsidP="00B421B8">
      <w:pPr>
        <w:pStyle w:val="ListParagraph"/>
        <w:numPr>
          <w:ilvl w:val="0"/>
          <w:numId w:val="10"/>
        </w:numPr>
        <w:spacing w:after="0" w:line="480" w:lineRule="auto"/>
        <w:ind w:left="641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Teknik </w:t>
      </w:r>
      <w:proofErr w:type="spellStart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</w:t>
      </w:r>
      <w:proofErr w:type="spellEnd"/>
      <w:r w:rsidRPr="004F5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</w:t>
      </w:r>
    </w:p>
    <w:p w14:paraId="6158F9C3" w14:textId="77777777" w:rsidR="00B421B8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Teknik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Sunaryati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Hartono,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membahas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cara-cara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dikumpulkan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penafsiran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interpretasi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hukum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penafsiran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penafsiran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sistematis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penafsiran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sosiologis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5F2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7"/>
      </w:r>
    </w:p>
    <w:p w14:paraId="2D729E15" w14:textId="77777777" w:rsidR="00B421B8" w:rsidRPr="004F5F24" w:rsidRDefault="00B421B8" w:rsidP="00B421B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dikemukakan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kombinasi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mendasarkan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data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Teknik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kepustakaan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4F5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276937" w14:textId="77777777" w:rsidR="00B421B8" w:rsidRDefault="00B421B8" w:rsidP="00B421B8">
      <w:pPr>
        <w:tabs>
          <w:tab w:val="left" w:pos="6837"/>
        </w:tabs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FFC37CC" w14:textId="77777777" w:rsidR="00466608" w:rsidRPr="00B421B8" w:rsidRDefault="002664AB" w:rsidP="00B421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6608" w:rsidRPr="00B421B8" w:rsidSect="00B421B8">
      <w:headerReference w:type="default" r:id="rId10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rif Rahman" w:date="2020-04-14T07:54:00Z" w:initials="AR">
    <w:p w14:paraId="7AB2D628" w14:textId="663208C2" w:rsidR="002D040A" w:rsidRDefault="002D040A">
      <w:pPr>
        <w:pStyle w:val="CommentText"/>
      </w:pPr>
      <w:r>
        <w:rPr>
          <w:rStyle w:val="CommentReference"/>
        </w:rPr>
        <w:annotationRef/>
      </w:r>
      <w:proofErr w:type="spellStart"/>
      <w:r>
        <w:t>Sumber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kaki?</w:t>
      </w:r>
    </w:p>
  </w:comment>
  <w:comment w:id="1" w:author="Arif Rahman" w:date="2020-04-14T07:54:00Z" w:initials="AR">
    <w:p w14:paraId="2886F331" w14:textId="2920598B" w:rsidR="002D040A" w:rsidRDefault="002D040A">
      <w:pPr>
        <w:pStyle w:val="CommentText"/>
      </w:pPr>
      <w:r>
        <w:rPr>
          <w:rStyle w:val="CommentReference"/>
        </w:rPr>
        <w:annotationRef/>
      </w:r>
      <w:proofErr w:type="spellStart"/>
      <w:r>
        <w:t>Sumber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kaki?</w:t>
      </w:r>
    </w:p>
  </w:comment>
  <w:comment w:id="2" w:author="Arif Rahman" w:date="2020-04-14T07:55:00Z" w:initials="AR">
    <w:p w14:paraId="5917E86F" w14:textId="7D43BE87" w:rsidR="002D040A" w:rsidRDefault="002D040A">
      <w:pPr>
        <w:pStyle w:val="CommentText"/>
      </w:pPr>
      <w:r>
        <w:rPr>
          <w:rStyle w:val="CommentReference"/>
        </w:rPr>
        <w:annotationRef/>
      </w:r>
      <w:r>
        <w:t xml:space="preserve">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disingkat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PKPU,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singkatn</w:t>
      </w:r>
      <w:proofErr w:type="spellEnd"/>
      <w:r>
        <w:t xml:space="preserve"> </w:t>
      </w:r>
      <w:proofErr w:type="spellStart"/>
      <w:r>
        <w:t>tsb</w:t>
      </w:r>
      <w:proofErr w:type="spellEnd"/>
      <w:r>
        <w:t>.</w:t>
      </w:r>
    </w:p>
  </w:comment>
  <w:comment w:id="3" w:author="Arif Rahman" w:date="2020-04-14T07:55:00Z" w:initials="AR">
    <w:p w14:paraId="2AF134F5" w14:textId="5F3094D6" w:rsidR="002D040A" w:rsidRDefault="002D040A">
      <w:pPr>
        <w:pStyle w:val="CommentText"/>
      </w:pPr>
      <w:r>
        <w:rPr>
          <w:rStyle w:val="CommentReference"/>
        </w:rPr>
        <w:annotationRef/>
      </w:r>
      <w:r>
        <w:t xml:space="preserve">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sebelumnya</w:t>
      </w:r>
      <w:proofErr w:type="spellEnd"/>
    </w:p>
  </w:comment>
  <w:comment w:id="4" w:author="Arif Rahman" w:date="2020-04-14T07:56:00Z" w:initials="AR">
    <w:p w14:paraId="65CAB8B8" w14:textId="412277E6" w:rsidR="002D040A" w:rsidRDefault="002D040A">
      <w:pPr>
        <w:pStyle w:val="CommentText"/>
      </w:pPr>
      <w:r>
        <w:rPr>
          <w:rStyle w:val="CommentReference"/>
        </w:rPr>
        <w:annotationRef/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disingkat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UU </w:t>
      </w:r>
      <w:proofErr w:type="spellStart"/>
      <w:r>
        <w:t>tentang</w:t>
      </w:r>
      <w:proofErr w:type="spellEnd"/>
      <w:r>
        <w:t xml:space="preserve"> PKPU</w:t>
      </w:r>
    </w:p>
  </w:comment>
  <w:comment w:id="5" w:author="Arif Rahman" w:date="2020-04-14T07:58:00Z" w:initials="AR">
    <w:p w14:paraId="625E8BCB" w14:textId="6335EA36" w:rsidR="002D040A" w:rsidRDefault="002D040A">
      <w:pPr>
        <w:pStyle w:val="CommentText"/>
      </w:pPr>
      <w:r>
        <w:rPr>
          <w:rStyle w:val="CommentReference"/>
        </w:rPr>
        <w:annotationRef/>
      </w:r>
      <w:proofErr w:type="spellStart"/>
      <w:r>
        <w:t>Setiap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tempat</w:t>
      </w:r>
      <w:proofErr w:type="spellEnd"/>
      <w:r>
        <w:t>/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dipisah</w:t>
      </w:r>
      <w:proofErr w:type="spellEnd"/>
      <w:r>
        <w:t>.</w:t>
      </w:r>
    </w:p>
  </w:comment>
  <w:comment w:id="6" w:author="Arif Rahman" w:date="2020-04-14T07:59:00Z" w:initials="AR">
    <w:p w14:paraId="0384E88F" w14:textId="77777777" w:rsidR="002D040A" w:rsidRDefault="002D040A">
      <w:pPr>
        <w:pStyle w:val="CommentText"/>
      </w:pPr>
      <w:r>
        <w:rPr>
          <w:rStyle w:val="CommentReference"/>
        </w:rPr>
        <w:annotationRef/>
      </w:r>
      <w:proofErr w:type="spellStart"/>
      <w:r>
        <w:t>Apa</w:t>
      </w:r>
      <w:proofErr w:type="spellEnd"/>
      <w:r>
        <w:t xml:space="preserve"> </w:t>
      </w:r>
      <w:proofErr w:type="spellStart"/>
      <w:r>
        <w:t>bedanya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14:paraId="5C78ACBC" w14:textId="77777777" w:rsidR="002D040A" w:rsidRDefault="002D040A">
      <w:pPr>
        <w:pStyle w:val="CommentText"/>
      </w:pPr>
      <w:r>
        <w:t xml:space="preserve">Ada </w:t>
      </w:r>
      <w:proofErr w:type="spellStart"/>
      <w:r>
        <w:t>yg</w:t>
      </w:r>
      <w:proofErr w:type="spellEnd"/>
      <w:r>
        <w:t xml:space="preserve"> 1 </w:t>
      </w:r>
      <w:proofErr w:type="spellStart"/>
      <w:r>
        <w:t>spasi</w:t>
      </w:r>
      <w:proofErr w:type="spellEnd"/>
      <w:r>
        <w:t xml:space="preserve"> dan </w:t>
      </w:r>
      <w:proofErr w:type="spellStart"/>
      <w:r>
        <w:t>ada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2 </w:t>
      </w:r>
      <w:proofErr w:type="spellStart"/>
      <w:r>
        <w:t>spasi</w:t>
      </w:r>
      <w:proofErr w:type="spellEnd"/>
      <w:r>
        <w:t>?</w:t>
      </w:r>
    </w:p>
    <w:p w14:paraId="32974C1B" w14:textId="5136500B" w:rsidR="002D040A" w:rsidRDefault="002D040A">
      <w:pPr>
        <w:pStyle w:val="CommentText"/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FH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kutipan</w:t>
      </w:r>
      <w:proofErr w:type="spellEnd"/>
      <w:r>
        <w:t>.</w:t>
      </w:r>
    </w:p>
  </w:comment>
  <w:comment w:id="7" w:author="Arif Rahman" w:date="2020-04-14T08:00:00Z" w:initials="AR">
    <w:p w14:paraId="2BA99E26" w14:textId="2B9A3B75" w:rsidR="002D040A" w:rsidRDefault="002D040A">
      <w:pPr>
        <w:pStyle w:val="CommentText"/>
      </w:pPr>
      <w:r>
        <w:rPr>
          <w:rStyle w:val="CommentReference"/>
        </w:rPr>
        <w:annotationRef/>
      </w:r>
      <w:r>
        <w:t xml:space="preserve">Sebagian </w:t>
      </w:r>
      <w:proofErr w:type="spellStart"/>
      <w:r>
        <w:t>atau</w:t>
      </w:r>
      <w:proofErr w:type="spellEnd"/>
      <w:r>
        <w:t xml:space="preserve"> </w:t>
      </w:r>
      <w:proofErr w:type="spellStart"/>
      <w:r w:rsidRPr="002D040A">
        <w:rPr>
          <w:b/>
          <w:bCs/>
        </w:rPr>
        <w:t>sebagai</w:t>
      </w:r>
      <w:proofErr w:type="spellEnd"/>
      <w:r>
        <w:rPr>
          <w:b/>
          <w:bCs/>
        </w:rPr>
        <w:t>?</w:t>
      </w:r>
    </w:p>
  </w:comment>
  <w:comment w:id="8" w:author="Arif Rahman" w:date="2020-04-14T08:01:00Z" w:initials="AR">
    <w:p w14:paraId="43E2E3D9" w14:textId="5F875836" w:rsidR="0069500A" w:rsidRDefault="0069500A">
      <w:pPr>
        <w:pStyle w:val="CommentText"/>
      </w:pPr>
      <w:r>
        <w:rPr>
          <w:rStyle w:val="CommentReference"/>
        </w:rPr>
        <w:annotationRef/>
      </w:r>
      <w:r>
        <w:t xml:space="preserve">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ttg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</w:p>
  </w:comment>
  <w:comment w:id="9" w:author="Arif Rahman" w:date="2020-04-14T08:02:00Z" w:initials="AR">
    <w:p w14:paraId="664FF6DE" w14:textId="32BA2E00" w:rsidR="0069500A" w:rsidRDefault="0069500A">
      <w:pPr>
        <w:pStyle w:val="CommentText"/>
      </w:pPr>
      <w:r>
        <w:rPr>
          <w:rStyle w:val="CommentReference"/>
        </w:rPr>
        <w:annotationRef/>
      </w:r>
      <w:r>
        <w:t xml:space="preserve">Sama </w:t>
      </w:r>
      <w:proofErr w:type="spellStart"/>
      <w:r>
        <w:t>dengan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dikomentari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Diperbaiki</w:t>
      </w:r>
      <w:proofErr w:type="spellEnd"/>
    </w:p>
  </w:comment>
  <w:comment w:id="10" w:author="Arif Rahman" w:date="2020-04-14T08:02:00Z" w:initials="AR">
    <w:p w14:paraId="2B838786" w14:textId="4E1151C7" w:rsidR="0069500A" w:rsidRDefault="0069500A">
      <w:pPr>
        <w:pStyle w:val="CommentText"/>
      </w:pPr>
      <w:r>
        <w:rPr>
          <w:rStyle w:val="CommentReference"/>
        </w:rPr>
        <w:annotationRef/>
      </w:r>
      <w:r>
        <w:t xml:space="preserve">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B2D628" w15:done="0"/>
  <w15:commentEx w15:paraId="2886F331" w15:done="0"/>
  <w15:commentEx w15:paraId="5917E86F" w15:done="0"/>
  <w15:commentEx w15:paraId="2AF134F5" w15:done="0"/>
  <w15:commentEx w15:paraId="65CAB8B8" w15:done="0"/>
  <w15:commentEx w15:paraId="625E8BCB" w15:done="0"/>
  <w15:commentEx w15:paraId="32974C1B" w15:done="0"/>
  <w15:commentEx w15:paraId="2BA99E26" w15:done="0"/>
  <w15:commentEx w15:paraId="43E2E3D9" w15:done="0"/>
  <w15:commentEx w15:paraId="664FF6DE" w15:done="0"/>
  <w15:commentEx w15:paraId="2B8387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B2D628" w16cid:durableId="223FEAB5"/>
  <w16cid:commentId w16cid:paraId="2886F331" w16cid:durableId="223FEACE"/>
  <w16cid:commentId w16cid:paraId="5917E86F" w16cid:durableId="223FEAE5"/>
  <w16cid:commentId w16cid:paraId="2AF134F5" w16cid:durableId="223FEB09"/>
  <w16cid:commentId w16cid:paraId="65CAB8B8" w16cid:durableId="223FEB3A"/>
  <w16cid:commentId w16cid:paraId="625E8BCB" w16cid:durableId="223FEBA4"/>
  <w16cid:commentId w16cid:paraId="32974C1B" w16cid:durableId="223FEBEB"/>
  <w16cid:commentId w16cid:paraId="2BA99E26" w16cid:durableId="223FEC38"/>
  <w16cid:commentId w16cid:paraId="43E2E3D9" w16cid:durableId="223FEC61"/>
  <w16cid:commentId w16cid:paraId="664FF6DE" w16cid:durableId="223FEC85"/>
  <w16cid:commentId w16cid:paraId="2B838786" w16cid:durableId="223FE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1A50" w14:textId="77777777" w:rsidR="002664AB" w:rsidRDefault="002664AB" w:rsidP="00B421B8">
      <w:pPr>
        <w:spacing w:after="0" w:line="240" w:lineRule="auto"/>
      </w:pPr>
      <w:r>
        <w:separator/>
      </w:r>
    </w:p>
  </w:endnote>
  <w:endnote w:type="continuationSeparator" w:id="0">
    <w:p w14:paraId="448D311B" w14:textId="77777777" w:rsidR="002664AB" w:rsidRDefault="002664AB" w:rsidP="00B4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60D0" w14:textId="77777777" w:rsidR="002664AB" w:rsidRDefault="002664AB" w:rsidP="00B421B8">
      <w:pPr>
        <w:spacing w:after="0" w:line="240" w:lineRule="auto"/>
      </w:pPr>
      <w:r>
        <w:separator/>
      </w:r>
    </w:p>
  </w:footnote>
  <w:footnote w:type="continuationSeparator" w:id="0">
    <w:p w14:paraId="1C8EE93E" w14:textId="77777777" w:rsidR="002664AB" w:rsidRDefault="002664AB" w:rsidP="00B421B8">
      <w:pPr>
        <w:spacing w:after="0" w:line="240" w:lineRule="auto"/>
      </w:pPr>
      <w:r>
        <w:continuationSeparator/>
      </w:r>
    </w:p>
  </w:footnote>
  <w:footnote w:id="1">
    <w:p w14:paraId="431283D3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Man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uparman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Sastrawidjaja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Hukum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Kepailitan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dan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Penund</w:t>
      </w:r>
      <w:r>
        <w:rPr>
          <w:rFonts w:ascii="Times New Roman" w:hAnsi="Times New Roman" w:cs="Times New Roman"/>
          <w:i/>
          <w:color w:val="000000" w:themeColor="text1"/>
        </w:rPr>
        <w:t>aan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Kewajiban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Pembayaran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Utang,</w:t>
      </w:r>
      <w:r>
        <w:rPr>
          <w:rFonts w:ascii="Times New Roman" w:hAnsi="Times New Roman" w:cs="Times New Roman"/>
          <w:color w:val="000000" w:themeColor="text1"/>
        </w:rPr>
        <w:t xml:space="preserve"> Alumni, Jakarta, 2006, </w:t>
      </w:r>
      <w:proofErr w:type="spellStart"/>
      <w:r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3474F4">
        <w:rPr>
          <w:rFonts w:ascii="Times New Roman" w:hAnsi="Times New Roman" w:cs="Times New Roman"/>
          <w:color w:val="000000" w:themeColor="text1"/>
        </w:rPr>
        <w:t>1.</w:t>
      </w:r>
    </w:p>
    <w:p w14:paraId="3858084D" w14:textId="77777777" w:rsidR="00B421B8" w:rsidRDefault="00B421B8" w:rsidP="00B421B8">
      <w:pPr>
        <w:pStyle w:val="FootnoteText"/>
        <w:jc w:val="center"/>
      </w:pPr>
    </w:p>
  </w:footnote>
  <w:footnote w:id="2">
    <w:p w14:paraId="244332DD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>M.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Hadi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Subhan, 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Hukum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Kepailitan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Prinsip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, Norma, dan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Praktik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di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Pengadilan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Kencana</w:t>
      </w:r>
      <w:proofErr w:type="spellEnd"/>
      <w:r>
        <w:rPr>
          <w:rFonts w:ascii="Times New Roman" w:hAnsi="Times New Roman" w:cs="Times New Roman"/>
          <w:color w:val="000000" w:themeColor="text1"/>
        </w:rPr>
        <w:t>, Jakarta,</w:t>
      </w:r>
      <w:r w:rsidRPr="003474F4">
        <w:rPr>
          <w:rFonts w:ascii="Times New Roman" w:hAnsi="Times New Roman" w:cs="Times New Roman"/>
          <w:color w:val="000000" w:themeColor="text1"/>
        </w:rPr>
        <w:t xml:space="preserve"> 2009,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Pr="003474F4">
        <w:rPr>
          <w:rFonts w:ascii="Times New Roman" w:hAnsi="Times New Roman" w:cs="Times New Roman"/>
          <w:color w:val="000000" w:themeColor="text1"/>
        </w:rPr>
        <w:t xml:space="preserve"> 75.</w:t>
      </w:r>
    </w:p>
  </w:footnote>
  <w:footnote w:id="3">
    <w:p w14:paraId="4103074D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proofErr w:type="spellStart"/>
      <w:r>
        <w:rPr>
          <w:rFonts w:ascii="Times New Roman" w:hAnsi="Times New Roman" w:cs="Times New Roman"/>
          <w:color w:val="000000" w:themeColor="text1"/>
        </w:rPr>
        <w:t>Su</w:t>
      </w:r>
      <w:r w:rsidRPr="003474F4">
        <w:rPr>
          <w:rFonts w:ascii="Times New Roman" w:hAnsi="Times New Roman" w:cs="Times New Roman"/>
          <w:color w:val="000000" w:themeColor="text1"/>
        </w:rPr>
        <w:t>tan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Remi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Sjahdeini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</w:rPr>
        <w:t xml:space="preserve">Hukum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Kepailitan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Pustaka Utama </w:t>
      </w:r>
      <w:proofErr w:type="spellStart"/>
      <w:r>
        <w:rPr>
          <w:rFonts w:ascii="Times New Roman" w:hAnsi="Times New Roman" w:cs="Times New Roman"/>
          <w:color w:val="000000" w:themeColor="text1"/>
        </w:rPr>
        <w:t>Grafiti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Jakarta, 2002, </w:t>
      </w:r>
      <w:proofErr w:type="spellStart"/>
      <w:r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3474F4">
        <w:rPr>
          <w:rFonts w:ascii="Times New Roman" w:hAnsi="Times New Roman" w:cs="Times New Roman"/>
          <w:color w:val="000000" w:themeColor="text1"/>
        </w:rPr>
        <w:t xml:space="preserve"> 327.</w:t>
      </w:r>
    </w:p>
  </w:footnote>
  <w:footnote w:id="4">
    <w:p w14:paraId="2C3BE599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Rahayu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Hartini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Pen</w:t>
      </w:r>
      <w:r w:rsidRPr="003474F4">
        <w:rPr>
          <w:rFonts w:ascii="Times New Roman" w:hAnsi="Times New Roman" w:cs="Times New Roman"/>
          <w:i/>
          <w:color w:val="000000" w:themeColor="text1"/>
        </w:rPr>
        <w:t>y</w:t>
      </w:r>
      <w:r>
        <w:rPr>
          <w:rFonts w:ascii="Times New Roman" w:hAnsi="Times New Roman" w:cs="Times New Roman"/>
          <w:i/>
          <w:color w:val="000000" w:themeColor="text1"/>
        </w:rPr>
        <w:t>e</w:t>
      </w:r>
      <w:r w:rsidRPr="003474F4">
        <w:rPr>
          <w:rFonts w:ascii="Times New Roman" w:hAnsi="Times New Roman" w:cs="Times New Roman"/>
          <w:i/>
          <w:color w:val="000000" w:themeColor="text1"/>
        </w:rPr>
        <w:t>lesaian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Sengketa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Kepailitan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di Indonesia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Dualisme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Kewenangan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Pengadilan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Niaga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dan Lembaga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Arbitrase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Kencana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Prenada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Media Group,</w:t>
      </w:r>
      <w:r>
        <w:rPr>
          <w:rFonts w:ascii="Times New Roman" w:hAnsi="Times New Roman" w:cs="Times New Roman"/>
          <w:color w:val="000000" w:themeColor="text1"/>
        </w:rPr>
        <w:t xml:space="preserve"> Jakarta,</w:t>
      </w:r>
      <w:r w:rsidRPr="003474F4">
        <w:rPr>
          <w:rFonts w:ascii="Times New Roman" w:hAnsi="Times New Roman" w:cs="Times New Roman"/>
          <w:color w:val="000000" w:themeColor="text1"/>
        </w:rPr>
        <w:t xml:space="preserve"> 2009,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Pr="003474F4">
        <w:rPr>
          <w:rFonts w:ascii="Times New Roman" w:hAnsi="Times New Roman" w:cs="Times New Roman"/>
          <w:color w:val="000000" w:themeColor="text1"/>
        </w:rPr>
        <w:t xml:space="preserve"> 121.</w:t>
      </w:r>
    </w:p>
  </w:footnote>
  <w:footnote w:id="5">
    <w:p w14:paraId="10E3E325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 xml:space="preserve">Munir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Fuady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 w:rsidRPr="003474F4">
        <w:rPr>
          <w:rFonts w:ascii="Times New Roman" w:hAnsi="Times New Roman" w:cs="Times New Roman"/>
          <w:i/>
          <w:color w:val="000000" w:themeColor="text1"/>
        </w:rPr>
        <w:t>Hukum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Pailit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Teori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Dan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Praktek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Citra Aditya </w:t>
      </w:r>
      <w:proofErr w:type="spellStart"/>
      <w:r>
        <w:rPr>
          <w:rFonts w:ascii="Times New Roman" w:hAnsi="Times New Roman" w:cs="Times New Roman"/>
          <w:color w:val="000000" w:themeColor="text1"/>
        </w:rPr>
        <w:t>Bakti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2005, Bandung, </w:t>
      </w:r>
      <w:proofErr w:type="spellStart"/>
      <w:r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>. 171.</w:t>
      </w:r>
    </w:p>
  </w:footnote>
  <w:footnote w:id="6">
    <w:p w14:paraId="118DBDA3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Pasal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224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ayat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1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Undang-Undang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No. 37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Tahun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 2004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Tentang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Kepailitan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Penundaan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Kewajiban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Pembayaran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Utang.</w:t>
      </w:r>
    </w:p>
  </w:footnote>
  <w:footnote w:id="7">
    <w:p w14:paraId="05B0DCBA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Syamsudin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Manan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Sinaga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Analisis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dan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Evaluasi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Hukum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Tentang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Restrukrisasi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Utang Pada PKPU,</w:t>
      </w:r>
      <w:r w:rsidRPr="003474F4">
        <w:rPr>
          <w:rFonts w:ascii="Times New Roman" w:hAnsi="Times New Roman" w:cs="Times New Roman"/>
          <w:color w:val="000000" w:themeColor="text1"/>
        </w:rPr>
        <w:t xml:space="preserve"> Badan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Pembinaan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Hukum Nasional,</w:t>
      </w:r>
      <w:r>
        <w:rPr>
          <w:rFonts w:ascii="Times New Roman" w:hAnsi="Times New Roman" w:cs="Times New Roman"/>
          <w:color w:val="000000" w:themeColor="text1"/>
        </w:rPr>
        <w:t xml:space="preserve"> Jakarta, 2</w:t>
      </w:r>
      <w:r w:rsidRPr="003474F4">
        <w:rPr>
          <w:rFonts w:ascii="Times New Roman" w:hAnsi="Times New Roman" w:cs="Times New Roman"/>
          <w:color w:val="000000" w:themeColor="text1"/>
        </w:rPr>
        <w:t xml:space="preserve">000,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3474F4">
        <w:rPr>
          <w:rFonts w:ascii="Times New Roman" w:hAnsi="Times New Roman" w:cs="Times New Roman"/>
          <w:color w:val="000000" w:themeColor="text1"/>
        </w:rPr>
        <w:t>101.</w:t>
      </w:r>
    </w:p>
  </w:footnote>
  <w:footnote w:id="8">
    <w:p w14:paraId="6D107C1F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color w:val="000000" w:themeColor="text1"/>
        </w:rPr>
        <w:footnoteRef/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Adhy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Iswara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Sinaga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Akibat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Hukum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Penundaan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Kewajiban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Pembayaran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Utang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Terhadap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Perjanjian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Sewa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Menyewa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Menurut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Undang-undang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Nomor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37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Tahun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2004,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Skripsi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Universitas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Sumatera Utara, Medan, 2011,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>. 8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9">
    <w:p w14:paraId="2C76A614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color w:val="000000" w:themeColor="text1"/>
        </w:rPr>
        <w:footnoteRef/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Desty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Ayu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Saraswati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Tinjauan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Yuridis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Terhadap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Penundaan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Kewajiban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Pembayaran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Utang Pada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Koperasi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Simpan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Pinjam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Mitradana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Sema</w:t>
      </w:r>
      <w:r>
        <w:rPr>
          <w:rFonts w:ascii="Times New Roman" w:hAnsi="Times New Roman" w:cs="Times New Roman"/>
          <w:i/>
          <w:color w:val="000000" w:themeColor="text1"/>
        </w:rPr>
        <w:t>rang (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Studi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Kasus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Putusan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Nomor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 01/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Pdt.Sus-Pkpu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>/2017/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Pn.Niaga.Smg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>)</w:t>
      </w:r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Jurnal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Universitas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Muhammadiyah Surakarta, Surakarta, 2018,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>. 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10">
    <w:p w14:paraId="5ECE07A2" w14:textId="77777777" w:rsidR="00B421B8" w:rsidRPr="00FC740E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FC740E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FC740E">
        <w:rPr>
          <w:rFonts w:ascii="Times New Roman" w:hAnsi="Times New Roman" w:cs="Times New Roman"/>
        </w:rPr>
        <w:t>Diwa</w:t>
      </w:r>
      <w:proofErr w:type="spellEnd"/>
      <w:r w:rsidRPr="00FC740E">
        <w:rPr>
          <w:rFonts w:ascii="Times New Roman" w:hAnsi="Times New Roman" w:cs="Times New Roman"/>
        </w:rPr>
        <w:t xml:space="preserve"> </w:t>
      </w:r>
      <w:proofErr w:type="spellStart"/>
      <w:r w:rsidRPr="00FC740E">
        <w:rPr>
          <w:rFonts w:ascii="Times New Roman" w:hAnsi="Times New Roman" w:cs="Times New Roman"/>
        </w:rPr>
        <w:t>Ardhaza</w:t>
      </w:r>
      <w:proofErr w:type="spellEnd"/>
      <w:r w:rsidRPr="00FC740E">
        <w:rPr>
          <w:rFonts w:ascii="Times New Roman" w:hAnsi="Times New Roman" w:cs="Times New Roman"/>
        </w:rPr>
        <w:t xml:space="preserve"> dan </w:t>
      </w:r>
      <w:proofErr w:type="spellStart"/>
      <w:r w:rsidRPr="00FC740E">
        <w:rPr>
          <w:rFonts w:ascii="Times New Roman" w:hAnsi="Times New Roman" w:cs="Times New Roman"/>
        </w:rPr>
        <w:t>Parulian</w:t>
      </w:r>
      <w:proofErr w:type="spellEnd"/>
      <w:r w:rsidRPr="00FC740E">
        <w:rPr>
          <w:rFonts w:ascii="Times New Roman" w:hAnsi="Times New Roman" w:cs="Times New Roman"/>
        </w:rPr>
        <w:t xml:space="preserve"> </w:t>
      </w:r>
      <w:proofErr w:type="spellStart"/>
      <w:r w:rsidRPr="00FC740E">
        <w:rPr>
          <w:rFonts w:ascii="Times New Roman" w:hAnsi="Times New Roman" w:cs="Times New Roman"/>
        </w:rPr>
        <w:t>Aritonanng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Analisis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Terhadap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Putusan</w:t>
      </w:r>
      <w:proofErr w:type="spellEnd"/>
      <w:r>
        <w:rPr>
          <w:rFonts w:ascii="Times New Roman" w:hAnsi="Times New Roman" w:cs="Times New Roman"/>
          <w:i/>
        </w:rPr>
        <w:t xml:space="preserve"> PKPU </w:t>
      </w:r>
      <w:proofErr w:type="spellStart"/>
      <w:r>
        <w:rPr>
          <w:rFonts w:ascii="Times New Roman" w:hAnsi="Times New Roman" w:cs="Times New Roman"/>
          <w:i/>
        </w:rPr>
        <w:t>Berdasarkan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Ketentuan</w:t>
      </w:r>
      <w:proofErr w:type="spellEnd"/>
      <w:r>
        <w:rPr>
          <w:rFonts w:ascii="Times New Roman" w:hAnsi="Times New Roman" w:cs="Times New Roman"/>
          <w:i/>
        </w:rPr>
        <w:t xml:space="preserve"> UUK-PKPU (</w:t>
      </w:r>
      <w:proofErr w:type="spellStart"/>
      <w:r>
        <w:rPr>
          <w:rFonts w:ascii="Times New Roman" w:hAnsi="Times New Roman" w:cs="Times New Roman"/>
          <w:i/>
        </w:rPr>
        <w:t>Tinjauan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Kasus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Putusan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Mahkamah</w:t>
      </w:r>
      <w:proofErr w:type="spellEnd"/>
      <w:r>
        <w:rPr>
          <w:rFonts w:ascii="Times New Roman" w:hAnsi="Times New Roman" w:cs="Times New Roman"/>
          <w:i/>
        </w:rPr>
        <w:t xml:space="preserve"> Agung </w:t>
      </w:r>
      <w:proofErr w:type="spellStart"/>
      <w:r>
        <w:rPr>
          <w:rFonts w:ascii="Times New Roman" w:hAnsi="Times New Roman" w:cs="Times New Roman"/>
          <w:i/>
        </w:rPr>
        <w:t>Nomor</w:t>
      </w:r>
      <w:proofErr w:type="spellEnd"/>
      <w:r>
        <w:rPr>
          <w:rFonts w:ascii="Times New Roman" w:hAnsi="Times New Roman" w:cs="Times New Roman"/>
          <w:i/>
        </w:rPr>
        <w:t xml:space="preserve"> 355 K/</w:t>
      </w:r>
      <w:proofErr w:type="spellStart"/>
      <w:r>
        <w:rPr>
          <w:rFonts w:ascii="Times New Roman" w:hAnsi="Times New Roman" w:cs="Times New Roman"/>
          <w:i/>
        </w:rPr>
        <w:t>Pdt.Sus</w:t>
      </w:r>
      <w:proofErr w:type="spellEnd"/>
      <w:r>
        <w:rPr>
          <w:rFonts w:ascii="Times New Roman" w:hAnsi="Times New Roman" w:cs="Times New Roman"/>
          <w:i/>
        </w:rPr>
        <w:t xml:space="preserve"> PKPU/2013)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Indonesia, Jakarta, 2014,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2.</w:t>
      </w:r>
    </w:p>
  </w:footnote>
  <w:footnote w:id="11">
    <w:p w14:paraId="2107BECD" w14:textId="77777777" w:rsidR="00B421B8" w:rsidRPr="00E17CC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proofErr w:type="spellStart"/>
      <w:r>
        <w:rPr>
          <w:rFonts w:ascii="Times New Roman" w:hAnsi="Times New Roman" w:cs="Times New Roman"/>
        </w:rPr>
        <w:t>Gunawan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Widjaja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Resiko</w:t>
      </w:r>
      <w:proofErr w:type="spellEnd"/>
      <w:r>
        <w:rPr>
          <w:rFonts w:ascii="Times New Roman" w:hAnsi="Times New Roman" w:cs="Times New Roman"/>
          <w:i/>
        </w:rPr>
        <w:t xml:space="preserve"> Hukum dan </w:t>
      </w:r>
      <w:proofErr w:type="spellStart"/>
      <w:r>
        <w:rPr>
          <w:rFonts w:ascii="Times New Roman" w:hAnsi="Times New Roman" w:cs="Times New Roman"/>
          <w:i/>
        </w:rPr>
        <w:t>Bisnis</w:t>
      </w:r>
      <w:proofErr w:type="spellEnd"/>
      <w:r>
        <w:rPr>
          <w:rFonts w:ascii="Times New Roman" w:hAnsi="Times New Roman" w:cs="Times New Roman"/>
          <w:i/>
        </w:rPr>
        <w:t xml:space="preserve"> Perusahaan </w:t>
      </w:r>
      <w:proofErr w:type="spellStart"/>
      <w:r>
        <w:rPr>
          <w:rFonts w:ascii="Times New Roman" w:hAnsi="Times New Roman" w:cs="Times New Roman"/>
          <w:i/>
        </w:rPr>
        <w:t>Pailit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cet.1. Forum </w:t>
      </w:r>
      <w:proofErr w:type="spellStart"/>
      <w:r>
        <w:rPr>
          <w:rFonts w:ascii="Times New Roman" w:hAnsi="Times New Roman" w:cs="Times New Roman"/>
        </w:rPr>
        <w:t>Sahabat</w:t>
      </w:r>
      <w:proofErr w:type="spellEnd"/>
      <w:r>
        <w:rPr>
          <w:rFonts w:ascii="Times New Roman" w:hAnsi="Times New Roman" w:cs="Times New Roman"/>
        </w:rPr>
        <w:t xml:space="preserve">, Jakarta, 2009, 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3.</w:t>
      </w:r>
    </w:p>
  </w:footnote>
  <w:footnote w:id="12">
    <w:p w14:paraId="412F75FF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 xml:space="preserve">Zainal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Asikin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Hukum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Kepailitan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dan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Penundaan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Kew</w:t>
      </w:r>
      <w:r>
        <w:rPr>
          <w:rFonts w:ascii="Times New Roman" w:hAnsi="Times New Roman" w:cs="Times New Roman"/>
          <w:i/>
          <w:color w:val="000000" w:themeColor="text1"/>
        </w:rPr>
        <w:t>ajiban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Pembayaran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di Indonesia,</w:t>
      </w:r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Raja </w:t>
      </w:r>
      <w:proofErr w:type="spellStart"/>
      <w:r>
        <w:rPr>
          <w:rFonts w:ascii="Times New Roman" w:hAnsi="Times New Roman" w:cs="Times New Roman"/>
          <w:color w:val="000000" w:themeColor="text1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Edisi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kedua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Jakarta, 1994, </w:t>
      </w:r>
      <w:proofErr w:type="spellStart"/>
      <w:r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>. 30.</w:t>
      </w:r>
    </w:p>
  </w:footnote>
  <w:footnote w:id="13">
    <w:p w14:paraId="54CE81F7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 xml:space="preserve">Jesse S. Raphael, AB.LL.B, </w:t>
      </w:r>
      <w:r w:rsidRPr="003474F4">
        <w:rPr>
          <w:rFonts w:ascii="Times New Roman" w:hAnsi="Times New Roman" w:cs="Times New Roman"/>
          <w:i/>
          <w:color w:val="000000" w:themeColor="text1"/>
        </w:rPr>
        <w:t>The Collier Quick and Ea</w:t>
      </w:r>
      <w:r>
        <w:rPr>
          <w:rFonts w:ascii="Times New Roman" w:hAnsi="Times New Roman" w:cs="Times New Roman"/>
          <w:i/>
          <w:color w:val="000000" w:themeColor="text1"/>
        </w:rPr>
        <w:t>sy Guide to Law, Collier Books,</w:t>
      </w:r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Edisi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pertama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New York, 1962.</w:t>
      </w:r>
    </w:p>
  </w:footnote>
  <w:footnote w:id="14">
    <w:p w14:paraId="115CC1C4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 xml:space="preserve">A. James Barnes, 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A Guide to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Bussiness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Law, </w:t>
      </w:r>
      <w:r w:rsidRPr="003474F4">
        <w:rPr>
          <w:rFonts w:ascii="Times New Roman" w:hAnsi="Times New Roman" w:cs="Times New Roman"/>
          <w:color w:val="000000" w:themeColor="text1"/>
        </w:rPr>
        <w:t xml:space="preserve">Learning Systems Company, Richard D. Irwin, INC. Home-Wood,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Illionis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>, 1981.</w:t>
      </w:r>
    </w:p>
  </w:footnote>
  <w:footnote w:id="15">
    <w:p w14:paraId="2E82384C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 xml:space="preserve">Ronald A. Anderson, 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Business Law, </w:t>
      </w:r>
      <w:r w:rsidRPr="003474F4">
        <w:rPr>
          <w:rFonts w:ascii="Times New Roman" w:hAnsi="Times New Roman" w:cs="Times New Roman"/>
          <w:color w:val="000000" w:themeColor="text1"/>
        </w:rPr>
        <w:t>South Western Publishing</w:t>
      </w:r>
      <w:r>
        <w:rPr>
          <w:rFonts w:ascii="Times New Roman" w:hAnsi="Times New Roman" w:cs="Times New Roman"/>
          <w:color w:val="000000" w:themeColor="text1"/>
        </w:rPr>
        <w:t xml:space="preserve">. Co. </w:t>
      </w:r>
      <w:proofErr w:type="spellStart"/>
      <w:r>
        <w:rPr>
          <w:rFonts w:ascii="Times New Roman" w:hAnsi="Times New Roman" w:cs="Times New Roman"/>
          <w:color w:val="000000" w:themeColor="text1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kesebelas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474F4">
        <w:rPr>
          <w:rFonts w:ascii="Times New Roman" w:hAnsi="Times New Roman" w:cs="Times New Roman"/>
          <w:color w:val="000000" w:themeColor="text1"/>
        </w:rPr>
        <w:t>South Western</w:t>
      </w:r>
      <w:r>
        <w:rPr>
          <w:rFonts w:ascii="Times New Roman" w:hAnsi="Times New Roman" w:cs="Times New Roman"/>
          <w:color w:val="000000" w:themeColor="text1"/>
        </w:rPr>
        <w:t xml:space="preserve">, 1998, </w:t>
      </w:r>
      <w:proofErr w:type="spellStart"/>
      <w:r>
        <w:rPr>
          <w:rFonts w:ascii="Times New Roman" w:hAnsi="Times New Roman" w:cs="Times New Roman"/>
          <w:color w:val="000000" w:themeColor="text1"/>
        </w:rPr>
        <w:t>h</w:t>
      </w:r>
      <w:r w:rsidRPr="003474F4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>m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. 170. </w:t>
      </w:r>
    </w:p>
  </w:footnote>
  <w:footnote w:id="16">
    <w:p w14:paraId="54B68902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proofErr w:type="spellStart"/>
      <w:r>
        <w:rPr>
          <w:rFonts w:ascii="Times New Roman" w:hAnsi="Times New Roman" w:cs="Times New Roman"/>
          <w:color w:val="000000" w:themeColor="text1"/>
        </w:rPr>
        <w:t>Abdul</w:t>
      </w:r>
      <w:r w:rsidRPr="003474F4">
        <w:rPr>
          <w:rFonts w:ascii="Times New Roman" w:hAnsi="Times New Roman" w:cs="Times New Roman"/>
          <w:color w:val="000000" w:themeColor="text1"/>
        </w:rPr>
        <w:t>Kadir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Muhammad,  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Hukum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Perjanjian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terjemahan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dari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Business Law oleh SB. Marsh dan J.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Soulsby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3474F4">
        <w:rPr>
          <w:rFonts w:ascii="Times New Roman" w:hAnsi="Times New Roman" w:cs="Times New Roman"/>
          <w:color w:val="000000" w:themeColor="text1"/>
        </w:rPr>
        <w:t>Alumni Bandung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Bandung, 1980, </w:t>
      </w:r>
      <w:proofErr w:type="spellStart"/>
      <w:r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>. 93.</w:t>
      </w:r>
    </w:p>
  </w:footnote>
  <w:footnote w:id="17">
    <w:p w14:paraId="79B303EA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>R. Setiawan,</w:t>
      </w:r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Pokok-Pokok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Hukum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Perikatan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Binacipta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Bandung, 1979, </w:t>
      </w:r>
      <w:proofErr w:type="spellStart"/>
      <w:r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>. 18.</w:t>
      </w:r>
    </w:p>
  </w:footnote>
  <w:footnote w:id="18">
    <w:p w14:paraId="63AA2151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 xml:space="preserve">Ahmad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Yani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Gunawan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Widjaja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</w:rPr>
        <w:t xml:space="preserve">Seri Hukum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Bisnis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Kepailitan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Raja </w:t>
      </w:r>
      <w:proofErr w:type="spellStart"/>
      <w:r>
        <w:rPr>
          <w:rFonts w:ascii="Times New Roman" w:hAnsi="Times New Roman" w:cs="Times New Roman"/>
          <w:color w:val="000000" w:themeColor="text1"/>
        </w:rPr>
        <w:t>Grafindo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Persada</w:t>
      </w:r>
      <w:proofErr w:type="spellEnd"/>
      <w:r>
        <w:rPr>
          <w:rFonts w:ascii="Times New Roman" w:hAnsi="Times New Roman" w:cs="Times New Roman"/>
          <w:color w:val="000000" w:themeColor="text1"/>
        </w:rPr>
        <w:t>, Jakarta, 2004</w:t>
      </w:r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>. 113.</w:t>
      </w:r>
    </w:p>
  </w:footnote>
  <w:footnote w:id="19">
    <w:p w14:paraId="10CCFD44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 xml:space="preserve">Zainal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Asikin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Op. Cit.,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Pr="003474F4">
        <w:rPr>
          <w:rFonts w:ascii="Times New Roman" w:hAnsi="Times New Roman" w:cs="Times New Roman"/>
          <w:color w:val="000000" w:themeColor="text1"/>
        </w:rPr>
        <w:t xml:space="preserve"> 160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0">
    <w:p w14:paraId="231CCF34" w14:textId="77777777" w:rsidR="00B421B8" w:rsidRPr="003474F4" w:rsidRDefault="00B421B8" w:rsidP="00B421B8">
      <w:pPr>
        <w:pStyle w:val="FootnoteText"/>
        <w:tabs>
          <w:tab w:val="left" w:pos="6534"/>
          <w:tab w:val="left" w:pos="7075"/>
        </w:tabs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3474F4">
        <w:rPr>
          <w:rFonts w:ascii="Times New Roman" w:hAnsi="Times New Roman" w:cs="Times New Roman"/>
          <w:color w:val="000000" w:themeColor="text1"/>
        </w:rPr>
        <w:t xml:space="preserve">Jono, </w:t>
      </w:r>
      <w:r>
        <w:rPr>
          <w:rFonts w:ascii="Times New Roman" w:hAnsi="Times New Roman" w:cs="Times New Roman"/>
          <w:i/>
          <w:color w:val="000000" w:themeColor="text1"/>
        </w:rPr>
        <w:t xml:space="preserve">Hukum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Kepailitan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Sinar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Grafika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Jakarta, 2013, </w:t>
      </w:r>
      <w:proofErr w:type="spellStart"/>
      <w:r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>. 170.</w:t>
      </w:r>
      <w:r w:rsidRPr="003474F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</w:footnote>
  <w:footnote w:id="21">
    <w:p w14:paraId="2345CBE5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245328">
        <w:rPr>
          <w:rFonts w:ascii="Times New Roman" w:hAnsi="Times New Roman" w:cs="Times New Roman"/>
          <w:i/>
          <w:color w:val="000000" w:themeColor="text1"/>
        </w:rPr>
        <w:t>Ibid</w:t>
      </w:r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>. 171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2">
    <w:p w14:paraId="47ABC70A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Lilik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Mulyadi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Perkara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Kepailitan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dan PKPU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Teori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dan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Praktik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dilengk</w:t>
      </w:r>
      <w:r>
        <w:rPr>
          <w:rFonts w:ascii="Times New Roman" w:hAnsi="Times New Roman" w:cs="Times New Roman"/>
          <w:i/>
          <w:color w:val="000000" w:themeColor="text1"/>
        </w:rPr>
        <w:t>api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Putusan-Putusan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Pengadilan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,</w:t>
      </w:r>
      <w:r w:rsidRPr="003474F4">
        <w:rPr>
          <w:rFonts w:ascii="Times New Roman" w:hAnsi="Times New Roman" w:cs="Times New Roman"/>
          <w:color w:val="000000" w:themeColor="text1"/>
        </w:rPr>
        <w:t xml:space="preserve"> Alumni,</w:t>
      </w:r>
      <w:r>
        <w:rPr>
          <w:rFonts w:ascii="Times New Roman" w:hAnsi="Times New Roman" w:cs="Times New Roman"/>
          <w:color w:val="000000" w:themeColor="text1"/>
        </w:rPr>
        <w:t xml:space="preserve"> Bandung,</w:t>
      </w:r>
      <w:r w:rsidRPr="003474F4">
        <w:rPr>
          <w:rFonts w:ascii="Times New Roman" w:hAnsi="Times New Roman" w:cs="Times New Roman"/>
          <w:color w:val="000000" w:themeColor="text1"/>
        </w:rPr>
        <w:t xml:space="preserve"> 2010, </w:t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Pr="003474F4">
        <w:rPr>
          <w:rFonts w:ascii="Times New Roman" w:hAnsi="Times New Roman" w:cs="Times New Roman"/>
          <w:color w:val="000000" w:themeColor="text1"/>
        </w:rPr>
        <w:t xml:space="preserve"> 135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  <w:footnote w:id="23">
    <w:p w14:paraId="23FFA2FA" w14:textId="77777777" w:rsidR="00B421B8" w:rsidRPr="00CF580F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CF580F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proofErr w:type="spellStart"/>
      <w:r w:rsidRPr="00CF580F">
        <w:rPr>
          <w:rFonts w:ascii="Times New Roman" w:hAnsi="Times New Roman" w:cs="Times New Roman"/>
          <w:color w:val="000000" w:themeColor="text1"/>
        </w:rPr>
        <w:t>Hilman</w:t>
      </w:r>
      <w:proofErr w:type="spellEnd"/>
      <w:r w:rsidRPr="00CF580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F580F">
        <w:rPr>
          <w:rFonts w:ascii="Times New Roman" w:hAnsi="Times New Roman" w:cs="Times New Roman"/>
          <w:color w:val="000000" w:themeColor="text1"/>
        </w:rPr>
        <w:t>Hadikusuma</w:t>
      </w:r>
      <w:proofErr w:type="spellEnd"/>
      <w:r w:rsidRPr="00CF580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F580F">
        <w:rPr>
          <w:rFonts w:ascii="Times New Roman" w:hAnsi="Times New Roman" w:cs="Times New Roman"/>
          <w:i/>
          <w:color w:val="000000" w:themeColor="text1"/>
        </w:rPr>
        <w:t>Metode</w:t>
      </w:r>
      <w:proofErr w:type="spellEnd"/>
      <w:r w:rsidRPr="00CF580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F580F">
        <w:rPr>
          <w:rFonts w:ascii="Times New Roman" w:hAnsi="Times New Roman" w:cs="Times New Roman"/>
          <w:i/>
          <w:color w:val="000000" w:themeColor="text1"/>
        </w:rPr>
        <w:t>Pembuatan</w:t>
      </w:r>
      <w:proofErr w:type="spellEnd"/>
      <w:r w:rsidRPr="00CF580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F580F">
        <w:rPr>
          <w:rFonts w:ascii="Times New Roman" w:hAnsi="Times New Roman" w:cs="Times New Roman"/>
          <w:i/>
          <w:color w:val="000000" w:themeColor="text1"/>
        </w:rPr>
        <w:t>Kertas</w:t>
      </w:r>
      <w:proofErr w:type="spellEnd"/>
      <w:r w:rsidRPr="00CF580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F580F">
        <w:rPr>
          <w:rFonts w:ascii="Times New Roman" w:hAnsi="Times New Roman" w:cs="Times New Roman"/>
          <w:i/>
          <w:color w:val="000000" w:themeColor="text1"/>
        </w:rPr>
        <w:t>Kerja</w:t>
      </w:r>
      <w:proofErr w:type="spellEnd"/>
      <w:r w:rsidRPr="00CF580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F580F">
        <w:rPr>
          <w:rFonts w:ascii="Times New Roman" w:hAnsi="Times New Roman" w:cs="Times New Roman"/>
          <w:i/>
          <w:color w:val="000000" w:themeColor="text1"/>
        </w:rPr>
        <w:t>atau</w:t>
      </w:r>
      <w:proofErr w:type="spellEnd"/>
      <w:r w:rsidRPr="00CF580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F580F">
        <w:rPr>
          <w:rFonts w:ascii="Times New Roman" w:hAnsi="Times New Roman" w:cs="Times New Roman"/>
          <w:i/>
          <w:color w:val="000000" w:themeColor="text1"/>
        </w:rPr>
        <w:t>Skripsi</w:t>
      </w:r>
      <w:proofErr w:type="spellEnd"/>
      <w:r w:rsidRPr="00CF580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F580F">
        <w:rPr>
          <w:rFonts w:ascii="Times New Roman" w:hAnsi="Times New Roman" w:cs="Times New Roman"/>
          <w:i/>
          <w:color w:val="000000" w:themeColor="text1"/>
        </w:rPr>
        <w:t>Ilmu</w:t>
      </w:r>
      <w:proofErr w:type="spellEnd"/>
      <w:r w:rsidRPr="00CF580F">
        <w:rPr>
          <w:rFonts w:ascii="Times New Roman" w:hAnsi="Times New Roman" w:cs="Times New Roman"/>
          <w:i/>
          <w:color w:val="000000" w:themeColor="text1"/>
        </w:rPr>
        <w:t xml:space="preserve"> Hukum, </w:t>
      </w:r>
      <w:r w:rsidRPr="00CF580F">
        <w:rPr>
          <w:rFonts w:ascii="Times New Roman" w:hAnsi="Times New Roman" w:cs="Times New Roman"/>
          <w:color w:val="000000" w:themeColor="text1"/>
        </w:rPr>
        <w:t xml:space="preserve">Mandar </w:t>
      </w:r>
      <w:proofErr w:type="spellStart"/>
      <w:r w:rsidRPr="00CF580F">
        <w:rPr>
          <w:rFonts w:ascii="Times New Roman" w:hAnsi="Times New Roman" w:cs="Times New Roman"/>
          <w:color w:val="000000" w:themeColor="text1"/>
        </w:rPr>
        <w:t>Maju</w:t>
      </w:r>
      <w:proofErr w:type="spellEnd"/>
      <w:r w:rsidRPr="00CF580F">
        <w:rPr>
          <w:rFonts w:ascii="Times New Roman" w:hAnsi="Times New Roman" w:cs="Times New Roman"/>
          <w:color w:val="000000" w:themeColor="text1"/>
        </w:rPr>
        <w:t xml:space="preserve">, Bandung, 1995, </w:t>
      </w:r>
      <w:proofErr w:type="spellStart"/>
      <w:r w:rsidRPr="00CF580F">
        <w:rPr>
          <w:rFonts w:ascii="Times New Roman" w:hAnsi="Times New Roman" w:cs="Times New Roman"/>
          <w:color w:val="000000" w:themeColor="text1"/>
        </w:rPr>
        <w:t>hlm</w:t>
      </w:r>
      <w:proofErr w:type="spellEnd"/>
      <w:r w:rsidRPr="00CF580F">
        <w:rPr>
          <w:rFonts w:ascii="Times New Roman" w:hAnsi="Times New Roman" w:cs="Times New Roman"/>
          <w:color w:val="000000" w:themeColor="text1"/>
        </w:rPr>
        <w:t>. 8.</w:t>
      </w:r>
    </w:p>
  </w:footnote>
  <w:footnote w:id="24">
    <w:p w14:paraId="211C0A38" w14:textId="77777777" w:rsidR="00B421B8" w:rsidRPr="00501073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501073">
        <w:rPr>
          <w:rStyle w:val="FootnoteReference"/>
          <w:rFonts w:ascii="Times New Roman" w:hAnsi="Times New Roman" w:cs="Times New Roman"/>
        </w:rPr>
        <w:footnoteRef/>
      </w:r>
      <w:r w:rsidRPr="00501073">
        <w:rPr>
          <w:rFonts w:ascii="Times New Roman" w:hAnsi="Times New Roman" w:cs="Times New Roman"/>
        </w:rPr>
        <w:t xml:space="preserve">Zainuddin Ali, </w:t>
      </w:r>
      <w:proofErr w:type="spellStart"/>
      <w:r w:rsidRPr="00501073">
        <w:rPr>
          <w:rFonts w:ascii="Times New Roman" w:hAnsi="Times New Roman" w:cs="Times New Roman"/>
          <w:i/>
        </w:rPr>
        <w:t>Metode</w:t>
      </w:r>
      <w:proofErr w:type="spellEnd"/>
      <w:r w:rsidRPr="00501073">
        <w:rPr>
          <w:rFonts w:ascii="Times New Roman" w:hAnsi="Times New Roman" w:cs="Times New Roman"/>
          <w:i/>
        </w:rPr>
        <w:t xml:space="preserve"> </w:t>
      </w:r>
      <w:proofErr w:type="spellStart"/>
      <w:r w:rsidRPr="00501073">
        <w:rPr>
          <w:rFonts w:ascii="Times New Roman" w:hAnsi="Times New Roman" w:cs="Times New Roman"/>
          <w:i/>
        </w:rPr>
        <w:t>Penelitian</w:t>
      </w:r>
      <w:proofErr w:type="spellEnd"/>
      <w:r w:rsidRPr="00501073">
        <w:rPr>
          <w:rFonts w:ascii="Times New Roman" w:hAnsi="Times New Roman" w:cs="Times New Roman"/>
          <w:i/>
        </w:rPr>
        <w:t xml:space="preserve"> Hukum, </w:t>
      </w:r>
      <w:proofErr w:type="spellStart"/>
      <w:r w:rsidRPr="00501073">
        <w:rPr>
          <w:rFonts w:ascii="Times New Roman" w:hAnsi="Times New Roman" w:cs="Times New Roman"/>
        </w:rPr>
        <w:t>Sinar</w:t>
      </w:r>
      <w:proofErr w:type="spellEnd"/>
      <w:r w:rsidRPr="00501073">
        <w:rPr>
          <w:rFonts w:ascii="Times New Roman" w:hAnsi="Times New Roman" w:cs="Times New Roman"/>
        </w:rPr>
        <w:t xml:space="preserve"> </w:t>
      </w:r>
      <w:proofErr w:type="spellStart"/>
      <w:r w:rsidRPr="00501073">
        <w:rPr>
          <w:rFonts w:ascii="Times New Roman" w:hAnsi="Times New Roman" w:cs="Times New Roman"/>
        </w:rPr>
        <w:t>Grafika</w:t>
      </w:r>
      <w:proofErr w:type="spellEnd"/>
      <w:r w:rsidRPr="00501073">
        <w:rPr>
          <w:rFonts w:ascii="Times New Roman" w:hAnsi="Times New Roman" w:cs="Times New Roman"/>
        </w:rPr>
        <w:t xml:space="preserve">, Jakarta, 2009, </w:t>
      </w:r>
      <w:proofErr w:type="spellStart"/>
      <w:r w:rsidRPr="00501073">
        <w:rPr>
          <w:rFonts w:ascii="Times New Roman" w:hAnsi="Times New Roman" w:cs="Times New Roman"/>
        </w:rPr>
        <w:t>hlm</w:t>
      </w:r>
      <w:proofErr w:type="spellEnd"/>
      <w:r w:rsidRPr="00501073">
        <w:rPr>
          <w:rFonts w:ascii="Times New Roman" w:hAnsi="Times New Roman" w:cs="Times New Roman"/>
        </w:rPr>
        <w:t>. 223.</w:t>
      </w:r>
    </w:p>
  </w:footnote>
  <w:footnote w:id="25">
    <w:p w14:paraId="4BC0BF10" w14:textId="77777777" w:rsidR="00B421B8" w:rsidRPr="00501073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501073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501073">
        <w:rPr>
          <w:rFonts w:ascii="Times New Roman" w:hAnsi="Times New Roman" w:cs="Times New Roman"/>
        </w:rPr>
        <w:t>Jhonny</w:t>
      </w:r>
      <w:proofErr w:type="spellEnd"/>
      <w:r w:rsidRPr="00501073">
        <w:rPr>
          <w:rFonts w:ascii="Times New Roman" w:hAnsi="Times New Roman" w:cs="Times New Roman"/>
        </w:rPr>
        <w:t xml:space="preserve"> Ibrahim, </w:t>
      </w:r>
      <w:proofErr w:type="spellStart"/>
      <w:r w:rsidRPr="00501073">
        <w:rPr>
          <w:rFonts w:ascii="Times New Roman" w:hAnsi="Times New Roman" w:cs="Times New Roman"/>
          <w:i/>
        </w:rPr>
        <w:t>Teori</w:t>
      </w:r>
      <w:proofErr w:type="spellEnd"/>
      <w:r w:rsidRPr="00501073">
        <w:rPr>
          <w:rFonts w:ascii="Times New Roman" w:hAnsi="Times New Roman" w:cs="Times New Roman"/>
          <w:i/>
        </w:rPr>
        <w:t xml:space="preserve"> dan </w:t>
      </w:r>
      <w:proofErr w:type="spellStart"/>
      <w:r w:rsidRPr="00501073">
        <w:rPr>
          <w:rFonts w:ascii="Times New Roman" w:hAnsi="Times New Roman" w:cs="Times New Roman"/>
          <w:i/>
        </w:rPr>
        <w:t>Metodelogi</w:t>
      </w:r>
      <w:proofErr w:type="spellEnd"/>
      <w:r w:rsidRPr="00501073">
        <w:rPr>
          <w:rFonts w:ascii="Times New Roman" w:hAnsi="Times New Roman" w:cs="Times New Roman"/>
          <w:i/>
        </w:rPr>
        <w:t xml:space="preserve"> </w:t>
      </w:r>
      <w:proofErr w:type="spellStart"/>
      <w:r w:rsidRPr="00501073">
        <w:rPr>
          <w:rFonts w:ascii="Times New Roman" w:hAnsi="Times New Roman" w:cs="Times New Roman"/>
          <w:i/>
        </w:rPr>
        <w:t>Penelitian</w:t>
      </w:r>
      <w:proofErr w:type="spellEnd"/>
      <w:r w:rsidRPr="00501073">
        <w:rPr>
          <w:rFonts w:ascii="Times New Roman" w:hAnsi="Times New Roman" w:cs="Times New Roman"/>
          <w:i/>
        </w:rPr>
        <w:t xml:space="preserve"> Hukum </w:t>
      </w:r>
      <w:proofErr w:type="spellStart"/>
      <w:r w:rsidRPr="00501073">
        <w:rPr>
          <w:rFonts w:ascii="Times New Roman" w:hAnsi="Times New Roman" w:cs="Times New Roman"/>
          <w:i/>
        </w:rPr>
        <w:t>Normatif</w:t>
      </w:r>
      <w:proofErr w:type="spellEnd"/>
      <w:r w:rsidRPr="00501073">
        <w:rPr>
          <w:rFonts w:ascii="Times New Roman" w:hAnsi="Times New Roman" w:cs="Times New Roman"/>
          <w:i/>
        </w:rPr>
        <w:t xml:space="preserve">, </w:t>
      </w:r>
      <w:proofErr w:type="spellStart"/>
      <w:r w:rsidRPr="00501073">
        <w:rPr>
          <w:rFonts w:ascii="Times New Roman" w:hAnsi="Times New Roman" w:cs="Times New Roman"/>
        </w:rPr>
        <w:t>Bayu</w:t>
      </w:r>
      <w:proofErr w:type="spellEnd"/>
      <w:r w:rsidRPr="00501073">
        <w:rPr>
          <w:rFonts w:ascii="Times New Roman" w:hAnsi="Times New Roman" w:cs="Times New Roman"/>
        </w:rPr>
        <w:t xml:space="preserve"> Media, Publishing Malang, 2006, </w:t>
      </w:r>
      <w:proofErr w:type="spellStart"/>
      <w:r w:rsidRPr="00501073">
        <w:rPr>
          <w:rFonts w:ascii="Times New Roman" w:hAnsi="Times New Roman" w:cs="Times New Roman"/>
        </w:rPr>
        <w:t>hlm</w:t>
      </w:r>
      <w:proofErr w:type="spellEnd"/>
      <w:r w:rsidRPr="00501073">
        <w:rPr>
          <w:rFonts w:ascii="Times New Roman" w:hAnsi="Times New Roman" w:cs="Times New Roman"/>
        </w:rPr>
        <w:t>. 321.</w:t>
      </w:r>
    </w:p>
  </w:footnote>
  <w:footnote w:id="26">
    <w:p w14:paraId="3C6EB5E9" w14:textId="77777777" w:rsidR="00B421B8" w:rsidRPr="00012090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012090">
        <w:rPr>
          <w:rStyle w:val="FootnoteReference"/>
          <w:rFonts w:ascii="Times New Roman" w:hAnsi="Times New Roman" w:cs="Times New Roman"/>
        </w:rPr>
        <w:footnoteRef/>
      </w:r>
      <w:r w:rsidRPr="00012090">
        <w:rPr>
          <w:rFonts w:ascii="Times New Roman" w:hAnsi="Times New Roman" w:cs="Times New Roman"/>
        </w:rPr>
        <w:t xml:space="preserve">Ronny </w:t>
      </w:r>
      <w:proofErr w:type="spellStart"/>
      <w:r w:rsidRPr="00012090">
        <w:rPr>
          <w:rFonts w:ascii="Times New Roman" w:hAnsi="Times New Roman" w:cs="Times New Roman"/>
        </w:rPr>
        <w:t>Hanitijo</w:t>
      </w:r>
      <w:proofErr w:type="spellEnd"/>
      <w:r w:rsidRPr="00012090">
        <w:rPr>
          <w:rFonts w:ascii="Times New Roman" w:hAnsi="Times New Roman" w:cs="Times New Roman"/>
        </w:rPr>
        <w:t xml:space="preserve"> S, </w:t>
      </w:r>
      <w:proofErr w:type="spellStart"/>
      <w:r w:rsidRPr="00012090">
        <w:rPr>
          <w:rFonts w:ascii="Times New Roman" w:hAnsi="Times New Roman" w:cs="Times New Roman"/>
          <w:i/>
        </w:rPr>
        <w:t>Metodelogi</w:t>
      </w:r>
      <w:proofErr w:type="spellEnd"/>
      <w:r w:rsidRPr="00012090">
        <w:rPr>
          <w:rFonts w:ascii="Times New Roman" w:hAnsi="Times New Roman" w:cs="Times New Roman"/>
          <w:i/>
        </w:rPr>
        <w:t xml:space="preserve"> </w:t>
      </w:r>
      <w:proofErr w:type="spellStart"/>
      <w:r w:rsidRPr="00012090">
        <w:rPr>
          <w:rFonts w:ascii="Times New Roman" w:hAnsi="Times New Roman" w:cs="Times New Roman"/>
          <w:i/>
        </w:rPr>
        <w:t>Penelitian</w:t>
      </w:r>
      <w:proofErr w:type="spellEnd"/>
      <w:r w:rsidRPr="00012090">
        <w:rPr>
          <w:rFonts w:ascii="Times New Roman" w:hAnsi="Times New Roman" w:cs="Times New Roman"/>
          <w:i/>
        </w:rPr>
        <w:t xml:space="preserve"> Hukum dan </w:t>
      </w:r>
      <w:proofErr w:type="spellStart"/>
      <w:r w:rsidRPr="00012090">
        <w:rPr>
          <w:rFonts w:ascii="Times New Roman" w:hAnsi="Times New Roman" w:cs="Times New Roman"/>
          <w:i/>
        </w:rPr>
        <w:t>Jurimetri</w:t>
      </w:r>
      <w:proofErr w:type="spellEnd"/>
      <w:r w:rsidRPr="00012090">
        <w:rPr>
          <w:rFonts w:ascii="Times New Roman" w:hAnsi="Times New Roman" w:cs="Times New Roman"/>
          <w:i/>
        </w:rPr>
        <w:t xml:space="preserve">, </w:t>
      </w:r>
      <w:proofErr w:type="spellStart"/>
      <w:r w:rsidRPr="00012090">
        <w:rPr>
          <w:rFonts w:ascii="Times New Roman" w:hAnsi="Times New Roman" w:cs="Times New Roman"/>
        </w:rPr>
        <w:t>Ghalia</w:t>
      </w:r>
      <w:proofErr w:type="spellEnd"/>
      <w:r w:rsidRPr="00012090">
        <w:rPr>
          <w:rFonts w:ascii="Times New Roman" w:hAnsi="Times New Roman" w:cs="Times New Roman"/>
        </w:rPr>
        <w:t xml:space="preserve"> Indonesia, Bandung, 1994, </w:t>
      </w:r>
      <w:proofErr w:type="spellStart"/>
      <w:r w:rsidRPr="00012090">
        <w:rPr>
          <w:rFonts w:ascii="Times New Roman" w:hAnsi="Times New Roman" w:cs="Times New Roman"/>
        </w:rPr>
        <w:t>hlm</w:t>
      </w:r>
      <w:proofErr w:type="spellEnd"/>
      <w:r w:rsidRPr="00012090">
        <w:rPr>
          <w:rFonts w:ascii="Times New Roman" w:hAnsi="Times New Roman" w:cs="Times New Roman"/>
        </w:rPr>
        <w:t xml:space="preserve">. 97 </w:t>
      </w:r>
    </w:p>
  </w:footnote>
  <w:footnote w:id="27">
    <w:p w14:paraId="7E457119" w14:textId="77777777" w:rsidR="00B421B8" w:rsidRPr="003474F4" w:rsidRDefault="00B421B8" w:rsidP="00B421B8">
      <w:pPr>
        <w:pStyle w:val="FootnoteTex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474F4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proofErr w:type="spellStart"/>
      <w:r w:rsidRPr="003474F4">
        <w:rPr>
          <w:rFonts w:ascii="Times New Roman" w:hAnsi="Times New Roman" w:cs="Times New Roman"/>
          <w:color w:val="000000" w:themeColor="text1"/>
        </w:rPr>
        <w:t>Sunaryati</w:t>
      </w:r>
      <w:proofErr w:type="spellEnd"/>
      <w:r w:rsidRPr="003474F4">
        <w:rPr>
          <w:rFonts w:ascii="Times New Roman" w:hAnsi="Times New Roman" w:cs="Times New Roman"/>
          <w:color w:val="000000" w:themeColor="text1"/>
        </w:rPr>
        <w:t xml:space="preserve"> Hartono. </w:t>
      </w:r>
      <w:proofErr w:type="spellStart"/>
      <w:r w:rsidRPr="003474F4">
        <w:rPr>
          <w:rFonts w:ascii="Times New Roman" w:hAnsi="Times New Roman" w:cs="Times New Roman"/>
          <w:i/>
          <w:color w:val="000000" w:themeColor="text1"/>
        </w:rPr>
        <w:t>Penelitian</w:t>
      </w:r>
      <w:proofErr w:type="spellEnd"/>
      <w:r w:rsidRPr="003474F4">
        <w:rPr>
          <w:rFonts w:ascii="Times New Roman" w:hAnsi="Times New Roman" w:cs="Times New Roman"/>
          <w:i/>
          <w:color w:val="000000" w:themeColor="text1"/>
        </w:rPr>
        <w:t xml:space="preserve"> Hukum Di I</w:t>
      </w:r>
      <w:r>
        <w:rPr>
          <w:rFonts w:ascii="Times New Roman" w:hAnsi="Times New Roman" w:cs="Times New Roman"/>
          <w:i/>
          <w:color w:val="000000" w:themeColor="text1"/>
        </w:rPr>
        <w:t xml:space="preserve">ndonesia Pada Akhir Abad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Ke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20.</w:t>
      </w:r>
      <w:r w:rsidRPr="003474F4">
        <w:rPr>
          <w:rFonts w:ascii="Times New Roman" w:hAnsi="Times New Roman" w:cs="Times New Roman"/>
          <w:color w:val="000000" w:themeColor="text1"/>
        </w:rPr>
        <w:t xml:space="preserve"> Alumni, </w:t>
      </w:r>
      <w:r>
        <w:rPr>
          <w:rFonts w:ascii="Times New Roman" w:hAnsi="Times New Roman" w:cs="Times New Roman"/>
          <w:color w:val="000000" w:themeColor="text1"/>
        </w:rPr>
        <w:t xml:space="preserve">Jakarta, 1994, </w:t>
      </w:r>
      <w:proofErr w:type="spellStart"/>
      <w:r>
        <w:rPr>
          <w:rFonts w:ascii="Times New Roman" w:hAnsi="Times New Roman" w:cs="Times New Roman"/>
          <w:color w:val="000000" w:themeColor="text1"/>
        </w:rPr>
        <w:t>hlm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Pr="003474F4">
        <w:rPr>
          <w:rFonts w:ascii="Times New Roman" w:hAnsi="Times New Roman" w:cs="Times New Roman"/>
          <w:color w:val="000000" w:themeColor="text1"/>
        </w:rPr>
        <w:t xml:space="preserve"> 140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079860"/>
      <w:docPartObj>
        <w:docPartGallery w:val="Page Numbers (Top of Page)"/>
        <w:docPartUnique/>
      </w:docPartObj>
    </w:sdtPr>
    <w:sdtEndPr/>
    <w:sdtContent>
      <w:p w14:paraId="4D445EBD" w14:textId="77777777" w:rsidR="00B421B8" w:rsidRDefault="002664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EC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2F34B01" w14:textId="77777777" w:rsidR="00B421B8" w:rsidRDefault="00B42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851"/>
    <w:multiLevelType w:val="hybridMultilevel"/>
    <w:tmpl w:val="A89CF61A"/>
    <w:lvl w:ilvl="0" w:tplc="FAAAE44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E5AD0"/>
    <w:multiLevelType w:val="hybridMultilevel"/>
    <w:tmpl w:val="0B2E6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0DD"/>
    <w:multiLevelType w:val="hybridMultilevel"/>
    <w:tmpl w:val="8A6E1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00D1"/>
    <w:multiLevelType w:val="hybridMultilevel"/>
    <w:tmpl w:val="77CEBBE4"/>
    <w:lvl w:ilvl="0" w:tplc="13B68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87637"/>
    <w:multiLevelType w:val="hybridMultilevel"/>
    <w:tmpl w:val="EBD02B7C"/>
    <w:lvl w:ilvl="0" w:tplc="C324BB34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B0BCC"/>
    <w:multiLevelType w:val="hybridMultilevel"/>
    <w:tmpl w:val="E610986C"/>
    <w:lvl w:ilvl="0" w:tplc="EBCEF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F50"/>
    <w:multiLevelType w:val="hybridMultilevel"/>
    <w:tmpl w:val="168E8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5766A"/>
    <w:multiLevelType w:val="hybridMultilevel"/>
    <w:tmpl w:val="A8901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058F"/>
    <w:multiLevelType w:val="hybridMultilevel"/>
    <w:tmpl w:val="C4360674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 w15:restartNumberingAfterBreak="0">
    <w:nsid w:val="2E0E11D7"/>
    <w:multiLevelType w:val="hybridMultilevel"/>
    <w:tmpl w:val="FA2E3C70"/>
    <w:lvl w:ilvl="0" w:tplc="E5C658FA">
      <w:start w:val="1"/>
      <w:numFmt w:val="decimal"/>
      <w:lvlText w:val="%1."/>
      <w:lvlJc w:val="right"/>
      <w:pPr>
        <w:ind w:left="180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73565D"/>
    <w:multiLevelType w:val="hybridMultilevel"/>
    <w:tmpl w:val="D9AC417C"/>
    <w:lvl w:ilvl="0" w:tplc="96E42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63244"/>
    <w:multiLevelType w:val="hybridMultilevel"/>
    <w:tmpl w:val="878EC42E"/>
    <w:lvl w:ilvl="0" w:tplc="B902F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E5FB8"/>
    <w:multiLevelType w:val="hybridMultilevel"/>
    <w:tmpl w:val="CE46E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C5FDF"/>
    <w:multiLevelType w:val="hybridMultilevel"/>
    <w:tmpl w:val="E716C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3A5A"/>
    <w:multiLevelType w:val="hybridMultilevel"/>
    <w:tmpl w:val="3910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1DC4"/>
    <w:multiLevelType w:val="hybridMultilevel"/>
    <w:tmpl w:val="0AF49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63DB5"/>
    <w:multiLevelType w:val="hybridMultilevel"/>
    <w:tmpl w:val="62EED740"/>
    <w:lvl w:ilvl="0" w:tplc="48C29F6C">
      <w:start w:val="1"/>
      <w:numFmt w:val="lowerLetter"/>
      <w:lvlText w:val="%1."/>
      <w:lvlJc w:val="right"/>
      <w:pPr>
        <w:ind w:left="180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165C77"/>
    <w:multiLevelType w:val="hybridMultilevel"/>
    <w:tmpl w:val="1F72B7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E66B8"/>
    <w:multiLevelType w:val="hybridMultilevel"/>
    <w:tmpl w:val="349A6C5C"/>
    <w:lvl w:ilvl="0" w:tplc="B218E5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748BF"/>
    <w:multiLevelType w:val="hybridMultilevel"/>
    <w:tmpl w:val="0554E3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2654C2"/>
    <w:multiLevelType w:val="hybridMultilevel"/>
    <w:tmpl w:val="89727F84"/>
    <w:lvl w:ilvl="0" w:tplc="7D940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34D3B"/>
    <w:multiLevelType w:val="hybridMultilevel"/>
    <w:tmpl w:val="9EE2AEB6"/>
    <w:lvl w:ilvl="0" w:tplc="A70CF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733A8"/>
    <w:multiLevelType w:val="hybridMultilevel"/>
    <w:tmpl w:val="F640C0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95DCC"/>
    <w:multiLevelType w:val="hybridMultilevel"/>
    <w:tmpl w:val="89920B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059BF"/>
    <w:multiLevelType w:val="hybridMultilevel"/>
    <w:tmpl w:val="1EE248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44AF3"/>
    <w:multiLevelType w:val="hybridMultilevel"/>
    <w:tmpl w:val="4AE0F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23"/>
  </w:num>
  <w:num w:numId="6">
    <w:abstractNumId w:val="8"/>
  </w:num>
  <w:num w:numId="7">
    <w:abstractNumId w:val="0"/>
  </w:num>
  <w:num w:numId="8">
    <w:abstractNumId w:val="25"/>
  </w:num>
  <w:num w:numId="9">
    <w:abstractNumId w:val="3"/>
  </w:num>
  <w:num w:numId="10">
    <w:abstractNumId w:val="21"/>
  </w:num>
  <w:num w:numId="11">
    <w:abstractNumId w:val="20"/>
  </w:num>
  <w:num w:numId="12">
    <w:abstractNumId w:val="17"/>
  </w:num>
  <w:num w:numId="13">
    <w:abstractNumId w:val="18"/>
  </w:num>
  <w:num w:numId="14">
    <w:abstractNumId w:val="9"/>
  </w:num>
  <w:num w:numId="15">
    <w:abstractNumId w:val="12"/>
  </w:num>
  <w:num w:numId="16">
    <w:abstractNumId w:val="19"/>
  </w:num>
  <w:num w:numId="17">
    <w:abstractNumId w:val="16"/>
  </w:num>
  <w:num w:numId="18">
    <w:abstractNumId w:val="10"/>
  </w:num>
  <w:num w:numId="19">
    <w:abstractNumId w:val="11"/>
  </w:num>
  <w:num w:numId="20">
    <w:abstractNumId w:val="22"/>
  </w:num>
  <w:num w:numId="21">
    <w:abstractNumId w:val="7"/>
  </w:num>
  <w:num w:numId="22">
    <w:abstractNumId w:val="24"/>
  </w:num>
  <w:num w:numId="23">
    <w:abstractNumId w:val="15"/>
  </w:num>
  <w:num w:numId="24">
    <w:abstractNumId w:val="6"/>
  </w:num>
  <w:num w:numId="25">
    <w:abstractNumId w:val="14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if Rahman">
    <w15:presenceInfo w15:providerId="Windows Live" w15:userId="1dad067e2f8453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1B8"/>
    <w:rsid w:val="00181C67"/>
    <w:rsid w:val="002664AB"/>
    <w:rsid w:val="002D040A"/>
    <w:rsid w:val="005125CA"/>
    <w:rsid w:val="0069500A"/>
    <w:rsid w:val="00B421B8"/>
    <w:rsid w:val="00BF13C1"/>
    <w:rsid w:val="00DC4EC5"/>
    <w:rsid w:val="00DF27E2"/>
    <w:rsid w:val="00F52BB8"/>
    <w:rsid w:val="00F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3F9C"/>
  <w15:docId w15:val="{C25EF41A-B42F-4FAA-8635-09CAC4C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42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21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21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1B8"/>
  </w:style>
  <w:style w:type="paragraph" w:styleId="Footer">
    <w:name w:val="footer"/>
    <w:basedOn w:val="Normal"/>
    <w:link w:val="FooterChar"/>
    <w:uiPriority w:val="99"/>
    <w:semiHidden/>
    <w:unhideWhenUsed/>
    <w:rsid w:val="00B4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1B8"/>
  </w:style>
  <w:style w:type="character" w:styleId="CommentReference">
    <w:name w:val="annotation reference"/>
    <w:basedOn w:val="DefaultParagraphFont"/>
    <w:uiPriority w:val="99"/>
    <w:semiHidden/>
    <w:unhideWhenUsed/>
    <w:rsid w:val="002D0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26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Arif Rahman</cp:lastModifiedBy>
  <cp:revision>3</cp:revision>
  <dcterms:created xsi:type="dcterms:W3CDTF">2020-04-11T12:26:00Z</dcterms:created>
  <dcterms:modified xsi:type="dcterms:W3CDTF">2020-04-14T01:05:00Z</dcterms:modified>
</cp:coreProperties>
</file>